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C311B" w14:textId="77777777" w:rsidR="00EA4D67" w:rsidRDefault="00EA4D67" w:rsidP="005F0271">
      <w:pPr>
        <w:jc w:val="center"/>
        <w:rPr>
          <w:b/>
          <w:bCs/>
          <w:sz w:val="26"/>
          <w:szCs w:val="26"/>
          <w:rtl/>
        </w:rPr>
      </w:pPr>
      <w:bookmarkStart w:id="0" w:name="_Toc503130993"/>
      <w:bookmarkStart w:id="1" w:name="_Hlk178119631"/>
      <w:r>
        <w:rPr>
          <w:noProof/>
        </w:rPr>
        <w:drawing>
          <wp:inline distT="0" distB="0" distL="0" distR="0" wp14:anchorId="0CDDAB7D" wp14:editId="2F089947">
            <wp:extent cx="509905" cy="624205"/>
            <wp:effectExtent l="0" t="0" r="4445" b="4445"/>
            <wp:docPr id="1" name="תמונה 1" descr="סמל המדינה"/>
            <wp:cNvGraphicFramePr/>
            <a:graphic xmlns:a="http://schemas.openxmlformats.org/drawingml/2006/main">
              <a:graphicData uri="http://schemas.openxmlformats.org/drawingml/2006/picture">
                <pic:pic xmlns:pic="http://schemas.openxmlformats.org/drawingml/2006/picture">
                  <pic:nvPicPr>
                    <pic:cNvPr id="1" name="תמונה 1" descr="סמל המדינה"/>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905" cy="624205"/>
                    </a:xfrm>
                    <a:prstGeom prst="rect">
                      <a:avLst/>
                    </a:prstGeom>
                    <a:noFill/>
                    <a:ln>
                      <a:noFill/>
                    </a:ln>
                  </pic:spPr>
                </pic:pic>
              </a:graphicData>
            </a:graphic>
          </wp:inline>
        </w:drawing>
      </w:r>
    </w:p>
    <w:p w14:paraId="11A4A5C3" w14:textId="77777777" w:rsidR="00EA4D67" w:rsidRDefault="00EA4D67" w:rsidP="005F0271">
      <w:pPr>
        <w:rPr>
          <w:b/>
          <w:bCs/>
          <w:sz w:val="26"/>
          <w:szCs w:val="26"/>
          <w:rtl/>
        </w:rPr>
      </w:pPr>
      <w:r w:rsidRPr="00CB5068">
        <w:rPr>
          <w:b/>
          <w:bCs/>
          <w:sz w:val="26"/>
          <w:szCs w:val="26"/>
          <w:rtl/>
        </w:rPr>
        <w:t>תוכן עניינים</w:t>
      </w:r>
    </w:p>
    <w:p w14:paraId="7477F238" w14:textId="77777777" w:rsidR="00EA4D67" w:rsidRDefault="00EA4D67" w:rsidP="00EA4D67">
      <w:pPr>
        <w:pStyle w:val="TOC1"/>
        <w:rPr>
          <w:rFonts w:asciiTheme="minorHAnsi" w:eastAsiaTheme="minorEastAsia" w:hAnsiTheme="minorHAnsi" w:cstheme="minorBidi"/>
          <w:bCs w:val="0"/>
          <w:noProof/>
          <w:sz w:val="22"/>
          <w:rtl/>
        </w:rPr>
      </w:pPr>
      <w:r>
        <w:rPr>
          <w:rtl/>
        </w:rPr>
        <w:fldChar w:fldCharType="begin"/>
      </w:r>
      <w:r>
        <w:rPr>
          <w:rtl/>
        </w:rPr>
        <w:instrText xml:space="preserve"> </w:instrText>
      </w:r>
      <w:r>
        <w:instrText>TOC</w:instrText>
      </w:r>
      <w:r>
        <w:rPr>
          <w:rtl/>
        </w:rPr>
        <w:instrText xml:space="preserve"> \</w:instrText>
      </w:r>
      <w:r>
        <w:instrText>o "1-9" \h \z \t "Table SideHeading,3,Table Head,2,Head HatzaotHok,1,Head DivreiHesber,2,Head HatzaotHok4Futer,1</w:instrText>
      </w:r>
      <w:r>
        <w:rPr>
          <w:rtl/>
        </w:rPr>
        <w:instrText xml:space="preserve">" </w:instrText>
      </w:r>
      <w:r>
        <w:rPr>
          <w:rtl/>
        </w:rPr>
        <w:fldChar w:fldCharType="separate"/>
      </w:r>
      <w:hyperlink w:anchor="_Toc179145764" w:history="1">
        <w:r w:rsidRPr="005B4935">
          <w:rPr>
            <w:rStyle w:val="Hyperlink"/>
            <w:noProof/>
            <w:rtl/>
          </w:rPr>
          <w:t>תזכיר חוק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Toc179145764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38943A04" w14:textId="77777777" w:rsidR="00EA4D67" w:rsidRDefault="00EA4D67" w:rsidP="00EA4D67">
      <w:pPr>
        <w:pStyle w:val="TOC4"/>
        <w:rPr>
          <w:rFonts w:cstheme="minorBidi"/>
          <w:rtl/>
        </w:rPr>
      </w:pPr>
      <w:hyperlink w:anchor="_Toc179145765" w:history="1">
        <w:r w:rsidRPr="005B4935">
          <w:rPr>
            <w:rStyle w:val="Hyperlink"/>
            <w:rtl/>
          </w:rPr>
          <w:t>א. שם החוק המוצע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Toc179145765 \h</w:instrText>
        </w:r>
        <w:r>
          <w:rPr>
            <w:webHidden/>
            <w:rtl/>
          </w:rPr>
          <w:instrText xml:space="preserve"> </w:instrText>
        </w:r>
        <w:r>
          <w:rPr>
            <w:rStyle w:val="Hyperlink"/>
            <w:rtl/>
          </w:rPr>
        </w:r>
        <w:r>
          <w:rPr>
            <w:rStyle w:val="Hyperlink"/>
            <w:rtl/>
          </w:rPr>
          <w:fldChar w:fldCharType="separate"/>
        </w:r>
        <w:r>
          <w:rPr>
            <w:webHidden/>
            <w:rtl/>
          </w:rPr>
          <w:t>2</w:t>
        </w:r>
        <w:r>
          <w:rPr>
            <w:rStyle w:val="Hyperlink"/>
            <w:rtl/>
          </w:rPr>
          <w:fldChar w:fldCharType="end"/>
        </w:r>
      </w:hyperlink>
    </w:p>
    <w:p w14:paraId="2982860B" w14:textId="77777777" w:rsidR="00EA4D67" w:rsidRDefault="00EA4D67" w:rsidP="00EA4D67">
      <w:pPr>
        <w:pStyle w:val="TOC4"/>
        <w:rPr>
          <w:rFonts w:cstheme="minorBidi"/>
          <w:rtl/>
        </w:rPr>
      </w:pPr>
      <w:hyperlink w:anchor="_Toc179145766" w:history="1">
        <w:r w:rsidRPr="005B4935">
          <w:rPr>
            <w:rStyle w:val="Hyperlink"/>
            <w:rtl/>
          </w:rPr>
          <w:t>ב. מטרת החוק המוצע, הצורך בו, עיקרי הוראותיו והשפעתו על הדין הקיים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Toc179145766 \h</w:instrText>
        </w:r>
        <w:r>
          <w:rPr>
            <w:webHidden/>
            <w:rtl/>
          </w:rPr>
          <w:instrText xml:space="preserve"> </w:instrText>
        </w:r>
        <w:r>
          <w:rPr>
            <w:rStyle w:val="Hyperlink"/>
            <w:rtl/>
          </w:rPr>
        </w:r>
        <w:r>
          <w:rPr>
            <w:rStyle w:val="Hyperlink"/>
            <w:rtl/>
          </w:rPr>
          <w:fldChar w:fldCharType="separate"/>
        </w:r>
        <w:r>
          <w:rPr>
            <w:webHidden/>
            <w:rtl/>
          </w:rPr>
          <w:t>2</w:t>
        </w:r>
        <w:r>
          <w:rPr>
            <w:rStyle w:val="Hyperlink"/>
            <w:rtl/>
          </w:rPr>
          <w:fldChar w:fldCharType="end"/>
        </w:r>
      </w:hyperlink>
    </w:p>
    <w:p w14:paraId="0F5D1EA1" w14:textId="77777777" w:rsidR="00EA4D67" w:rsidRDefault="00EA4D67" w:rsidP="00EA4D67">
      <w:pPr>
        <w:pStyle w:val="TOC4"/>
        <w:rPr>
          <w:rFonts w:cstheme="minorBidi"/>
          <w:rtl/>
        </w:rPr>
      </w:pPr>
      <w:hyperlink w:anchor="_Toc179145767" w:history="1">
        <w:r w:rsidRPr="005B4935">
          <w:rPr>
            <w:rStyle w:val="Hyperlink"/>
            <w:rtl/>
          </w:rPr>
          <w:t>ג. השפעת תזכיר החוק המוצע על התקציב ועל התקן המנהלי של המשרד היוזם, משרדים אחרים ורשויות אחרות.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Toc179145767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14:paraId="026CB6AC" w14:textId="77777777" w:rsidR="00EA4D67" w:rsidRDefault="00EA4D67" w:rsidP="00EA4D67">
      <w:pPr>
        <w:pStyle w:val="TOC4"/>
        <w:rPr>
          <w:rFonts w:cstheme="minorBidi"/>
          <w:rtl/>
        </w:rPr>
      </w:pPr>
      <w:hyperlink w:anchor="_Toc179145768" w:history="1">
        <w:r w:rsidRPr="005B4935">
          <w:rPr>
            <w:rStyle w:val="Hyperlink"/>
            <w:rtl/>
          </w:rPr>
          <w:t>ד. להלן נוסח תזכיר החוק המוצע ודברי הסבר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Toc179145768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14:paraId="1FA89018" w14:textId="77777777" w:rsidR="00EA4D67" w:rsidRDefault="00EA4D67" w:rsidP="00EA4D67">
      <w:pPr>
        <w:pStyle w:val="TOC1"/>
        <w:rPr>
          <w:rFonts w:asciiTheme="minorHAnsi" w:eastAsiaTheme="minorEastAsia" w:hAnsiTheme="minorHAnsi" w:cstheme="minorBidi"/>
          <w:bCs w:val="0"/>
          <w:noProof/>
          <w:sz w:val="22"/>
          <w:rtl/>
        </w:rPr>
      </w:pPr>
      <w:hyperlink w:anchor="_Toc179145769" w:history="1">
        <w:r w:rsidRPr="005B4935">
          <w:rPr>
            <w:rStyle w:val="Hyperlink"/>
            <w:noProof/>
            <w:rtl/>
          </w:rPr>
          <w:t>תזכיר חוק לתיקון פקודת מס הכנסה (מס' ...), התשפ"ה-2024</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Toc179145769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20ACB79F" w14:textId="77777777" w:rsidR="00EA4D67" w:rsidRDefault="00EA4D67" w:rsidP="00EA4D67">
      <w:pPr>
        <w:pStyle w:val="TOC2"/>
        <w:rPr>
          <w:rFonts w:asciiTheme="minorHAnsi" w:eastAsiaTheme="minorEastAsia" w:hAnsiTheme="minorHAnsi" w:cstheme="minorBidi"/>
          <w:noProof/>
          <w:sz w:val="22"/>
          <w:rtl/>
        </w:rPr>
      </w:pPr>
      <w:hyperlink w:anchor="_Toc179145770" w:history="1">
        <w:r w:rsidRPr="005B4935">
          <w:rPr>
            <w:rStyle w:val="Hyperlink"/>
            <w:noProof/>
            <w:rtl/>
          </w:rPr>
          <w:t>פרק א': רווחים לא מחולקים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Toc179145770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1D0D2382" w14:textId="77777777" w:rsidR="00EA4D67" w:rsidRDefault="00EA4D67" w:rsidP="00EA4D67">
      <w:pPr>
        <w:pStyle w:val="TOC3"/>
        <w:rPr>
          <w:rFonts w:asciiTheme="minorHAnsi" w:eastAsiaTheme="minorEastAsia" w:hAnsiTheme="minorHAnsi" w:cstheme="minorBidi"/>
          <w:noProof/>
          <w:sz w:val="22"/>
          <w:rtl/>
        </w:rPr>
      </w:pPr>
      <w:hyperlink w:anchor="_Toc179145771" w:history="1">
        <w:r w:rsidRPr="005B4935">
          <w:rPr>
            <w:rStyle w:val="Hyperlink"/>
            <w:noProof/>
            <w:rtl/>
          </w:rPr>
          <w:t>פקודת מס הכנסה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Toc179145771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1C17F66A" w14:textId="77777777" w:rsidR="00EA4D67" w:rsidRDefault="00EA4D67" w:rsidP="00EA4D67">
      <w:pPr>
        <w:pStyle w:val="TOC2"/>
        <w:rPr>
          <w:rFonts w:asciiTheme="minorHAnsi" w:eastAsiaTheme="minorEastAsia" w:hAnsiTheme="minorHAnsi" w:cstheme="minorBidi"/>
          <w:noProof/>
          <w:sz w:val="22"/>
          <w:rtl/>
        </w:rPr>
      </w:pPr>
      <w:hyperlink w:anchor="_Toc179145772" w:history="1">
        <w:r w:rsidRPr="005B4935">
          <w:rPr>
            <w:rStyle w:val="Hyperlink"/>
            <w:noProof/>
            <w:rtl/>
          </w:rPr>
          <w:t>"סימן א – תחולה";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Toc179145772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5E54FF39" w14:textId="77777777" w:rsidR="00EA4D67" w:rsidRDefault="00EA4D67" w:rsidP="00EA4D67">
      <w:pPr>
        <w:pStyle w:val="TOC2"/>
        <w:rPr>
          <w:rFonts w:asciiTheme="minorHAnsi" w:eastAsiaTheme="minorEastAsia" w:hAnsiTheme="minorHAnsi" w:cstheme="minorBidi"/>
          <w:noProof/>
          <w:sz w:val="22"/>
          <w:rtl/>
        </w:rPr>
      </w:pPr>
      <w:hyperlink w:anchor="_Toc179145773" w:history="1">
        <w:r w:rsidRPr="005B4935">
          <w:rPr>
            <w:rStyle w:val="Hyperlink"/>
            <w:noProof/>
            <w:rtl/>
          </w:rPr>
          <w:t>"סימן ב – רווחים לא מחולקים שרואים אותם כמחולקים";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Toc179145773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7DD008D1" w14:textId="77777777" w:rsidR="00EA4D67" w:rsidRDefault="00EA4D67" w:rsidP="00EA4D67">
      <w:pPr>
        <w:pStyle w:val="TOC2"/>
        <w:rPr>
          <w:rFonts w:asciiTheme="minorHAnsi" w:eastAsiaTheme="minorEastAsia" w:hAnsiTheme="minorHAnsi" w:cstheme="minorBidi"/>
          <w:noProof/>
          <w:sz w:val="22"/>
          <w:rtl/>
        </w:rPr>
      </w:pPr>
      <w:hyperlink w:anchor="_Toc179145774" w:history="1">
        <w:r w:rsidRPr="005B4935">
          <w:rPr>
            <w:rStyle w:val="Hyperlink"/>
            <w:noProof/>
            <w:rtl/>
          </w:rPr>
          <w:t>"סימן ג – תוספת מס על רווחי חברת מעטים שלא חולקו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Toc179145774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14:paraId="30EF3555" w14:textId="77777777" w:rsidR="00EA4D67" w:rsidRDefault="00EA4D67" w:rsidP="00EA4D67">
      <w:pPr>
        <w:pStyle w:val="TOC3"/>
        <w:rPr>
          <w:rFonts w:asciiTheme="minorHAnsi" w:eastAsiaTheme="minorEastAsia" w:hAnsiTheme="minorHAnsi" w:cstheme="minorBidi"/>
          <w:noProof/>
          <w:sz w:val="22"/>
          <w:rtl/>
        </w:rPr>
      </w:pPr>
      <w:hyperlink w:anchor="_Toc179145775" w:history="1">
        <w:r w:rsidRPr="005B4935">
          <w:rPr>
            <w:rStyle w:val="Hyperlink"/>
            <w:noProof/>
            <w:rtl/>
          </w:rPr>
          <w:t>תחילה ותחולה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Toc179145775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14:paraId="63DDDE03" w14:textId="77777777" w:rsidR="00EA4D67" w:rsidRDefault="00EA4D67" w:rsidP="00EA4D67">
      <w:pPr>
        <w:pStyle w:val="TOC3"/>
        <w:rPr>
          <w:rFonts w:asciiTheme="minorHAnsi" w:eastAsiaTheme="minorEastAsia" w:hAnsiTheme="minorHAnsi" w:cstheme="minorBidi"/>
          <w:noProof/>
          <w:sz w:val="22"/>
          <w:rtl/>
        </w:rPr>
      </w:pPr>
      <w:hyperlink w:anchor="_Toc179145776" w:history="1">
        <w:r w:rsidRPr="005B4935">
          <w:rPr>
            <w:rStyle w:val="Hyperlink"/>
            <w:noProof/>
            <w:rtl/>
          </w:rPr>
          <w:t>הוראות מעבר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Toc179145776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14:paraId="519AF4A7" w14:textId="77777777" w:rsidR="00EA4D67" w:rsidRDefault="00EA4D67" w:rsidP="00EA4D67">
      <w:pPr>
        <w:pStyle w:val="TOC3"/>
        <w:rPr>
          <w:rFonts w:asciiTheme="minorHAnsi" w:eastAsiaTheme="minorEastAsia" w:hAnsiTheme="minorHAnsi" w:cstheme="minorBidi"/>
          <w:noProof/>
          <w:sz w:val="22"/>
          <w:rtl/>
        </w:rPr>
      </w:pPr>
      <w:hyperlink w:anchor="_Toc179145777" w:history="1">
        <w:r w:rsidRPr="005B4935">
          <w:rPr>
            <w:rStyle w:val="Hyperlink"/>
            <w:noProof/>
            <w:rtl/>
          </w:rPr>
          <w:t>תיקון חוק ביטוח לאומי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Toc179145777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14:paraId="40A88329" w14:textId="77777777" w:rsidR="00EA4D67" w:rsidRDefault="00EA4D67" w:rsidP="00EA4D67">
      <w:pPr>
        <w:pStyle w:val="TOC2"/>
        <w:rPr>
          <w:rFonts w:asciiTheme="minorHAnsi" w:eastAsiaTheme="minorEastAsia" w:hAnsiTheme="minorHAnsi" w:cstheme="minorBidi"/>
          <w:noProof/>
          <w:sz w:val="22"/>
          <w:rtl/>
        </w:rPr>
      </w:pPr>
      <w:hyperlink w:anchor="_Toc179145778" w:history="1">
        <w:r w:rsidRPr="005B4935">
          <w:rPr>
            <w:rStyle w:val="Hyperlink"/>
            <w:noProof/>
            <w:rtl/>
          </w:rPr>
          <w:t>דברי הסבר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Toc179145778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14:paraId="1BBC833B" w14:textId="77777777" w:rsidR="00EA4D67" w:rsidRDefault="00EA4D67" w:rsidP="00EA4D67">
      <w:pPr>
        <w:rPr>
          <w:snapToGrid w:val="0"/>
          <w:rtl/>
        </w:rPr>
      </w:pPr>
      <w:r>
        <w:rPr>
          <w:rtl/>
        </w:rPr>
        <w:fldChar w:fldCharType="end"/>
      </w:r>
      <w:r>
        <w:rPr>
          <w:rtl/>
        </w:rPr>
        <w:br w:type="page"/>
      </w:r>
    </w:p>
    <w:p w14:paraId="2A031EEA" w14:textId="77777777" w:rsidR="001F51EF" w:rsidRPr="001A0660" w:rsidRDefault="001F51EF" w:rsidP="00D36340">
      <w:pPr>
        <w:pStyle w:val="Heading1"/>
        <w:keepNext w:val="0"/>
        <w:keepLines w:val="0"/>
      </w:pPr>
      <w:bookmarkStart w:id="2" w:name="_Toc179145738"/>
      <w:bookmarkStart w:id="3" w:name="_Toc179145764"/>
      <w:r w:rsidRPr="001A0660">
        <w:rPr>
          <w:rtl/>
        </w:rPr>
        <w:lastRenderedPageBreak/>
        <w:t>תזכיר חוק</w:t>
      </w:r>
      <w:bookmarkEnd w:id="0"/>
      <w:bookmarkEnd w:id="2"/>
      <w:bookmarkEnd w:id="3"/>
    </w:p>
    <w:p w14:paraId="54C5BE7D" w14:textId="77777777" w:rsidR="001F51EF" w:rsidRPr="001A0660" w:rsidRDefault="001F51EF" w:rsidP="00D36340">
      <w:pPr>
        <w:rPr>
          <w:rtl/>
        </w:rPr>
      </w:pPr>
    </w:p>
    <w:p w14:paraId="4129A630" w14:textId="77777777" w:rsidR="001F51EF" w:rsidRPr="001A0660" w:rsidRDefault="001F51EF" w:rsidP="00D36340">
      <w:pPr>
        <w:pStyle w:val="Heading4"/>
        <w:rPr>
          <w:rtl/>
        </w:rPr>
      </w:pPr>
      <w:bookmarkStart w:id="4" w:name="_Toc179145765"/>
      <w:r w:rsidRPr="001A0660">
        <w:rPr>
          <w:rFonts w:hint="cs"/>
          <w:rtl/>
        </w:rPr>
        <w:t>שם החוק המוצע</w:t>
      </w:r>
      <w:bookmarkEnd w:id="4"/>
    </w:p>
    <w:p w14:paraId="75D9650A" w14:textId="77777777" w:rsidR="001F51EF" w:rsidRPr="001A0660" w:rsidRDefault="005E5F28" w:rsidP="00D36340">
      <w:r w:rsidRPr="001A0660">
        <w:rPr>
          <w:rFonts w:hint="cs"/>
          <w:rtl/>
        </w:rPr>
        <w:t>חוק לתיקון פקודת מס הכנסה (מס' ...), התשפ"ה-2024</w:t>
      </w:r>
      <w:r w:rsidR="000E39CE">
        <w:rPr>
          <w:rFonts w:hint="cs"/>
          <w:rtl/>
        </w:rPr>
        <w:t xml:space="preserve">. </w:t>
      </w:r>
    </w:p>
    <w:p w14:paraId="30061629" w14:textId="77777777" w:rsidR="001F51EF" w:rsidRPr="001A0660" w:rsidRDefault="001F51EF" w:rsidP="00D36340">
      <w:pPr>
        <w:rPr>
          <w:rtl/>
        </w:rPr>
      </w:pPr>
    </w:p>
    <w:p w14:paraId="748D0187" w14:textId="77777777" w:rsidR="001F51EF" w:rsidRPr="001A0660" w:rsidRDefault="001F51EF" w:rsidP="00D36340">
      <w:pPr>
        <w:rPr>
          <w:rtl/>
        </w:rPr>
      </w:pPr>
    </w:p>
    <w:p w14:paraId="608081B1" w14:textId="77777777" w:rsidR="001F51EF" w:rsidRPr="001A0660" w:rsidRDefault="001F51EF" w:rsidP="00D36340">
      <w:pPr>
        <w:pStyle w:val="Heading4"/>
        <w:rPr>
          <w:rtl/>
        </w:rPr>
      </w:pPr>
      <w:bookmarkStart w:id="5" w:name="_Toc179145766"/>
      <w:r w:rsidRPr="001A0660">
        <w:rPr>
          <w:rFonts w:hint="cs"/>
          <w:rtl/>
        </w:rPr>
        <w:t>מטרת החוק המוצע, הצורך בו, עיקרי הוראותיו והשפעתו על הדין הקיים</w:t>
      </w:r>
      <w:bookmarkEnd w:id="5"/>
    </w:p>
    <w:p w14:paraId="3CFC41A3" w14:textId="77777777" w:rsidR="005E5F28" w:rsidRPr="001A0660" w:rsidRDefault="005E5F28" w:rsidP="005E5F28">
      <w:pPr>
        <w:rPr>
          <w:rtl/>
        </w:rPr>
      </w:pPr>
      <w:r w:rsidRPr="001A0660">
        <w:rPr>
          <w:rtl/>
        </w:rPr>
        <w:t xml:space="preserve">בישראל, כפי שמקובל במדינות רבות בעולם, משטר המס החל על חברות הוא דו-שלבי. תחת משטר זה, בשלב הראשון נגבה מס חברות (23% לרוב) על רווחים המופקים באותה שנה, ובשלב השני, כאשר בעלי החברה מחליטים למשוך את הרווחים מהחברה ואל היחיד כדיבידנד, נגבה מס דיבידנד ממקבלי הדיבידנד. שיעור המס החל על דיבידנד שמקבלים בעלי המניות המהותיים הוא בגובה 30%, ושיעור המס החל על דיבידנד שמקבלים בעלי המניות האחרים הוא 25%. כך, בשכלול שני השלבים – מס החברות והמס על הדיבידנד לבעל מניות מהותי – שיעור המס המוטל על ההכנסה עומד על כ-46%, ואם בעל המניות המהותי חב במס יסף שיעור המס עומד על קצת יותר מ-48%. </w:t>
      </w:r>
    </w:p>
    <w:p w14:paraId="346ED7FE" w14:textId="77777777" w:rsidR="005E5F28" w:rsidRPr="001A0660" w:rsidRDefault="005E5F28" w:rsidP="005E5F28">
      <w:pPr>
        <w:rPr>
          <w:rtl/>
        </w:rPr>
      </w:pPr>
      <w:r w:rsidRPr="001A0660">
        <w:rPr>
          <w:rtl/>
        </w:rPr>
        <w:t xml:space="preserve">הרציונל העומד מאחורי שיטת המיסוי הדו־שלבי במיסוי חברות הוא עיקרון השקילות המיסויית שלפיו יצומצם ההבדל בין שיעורי המס החלים על הכנסה המופקת בידי יחיד לבין אותה הכנסה המופקת בידו באמצעות חברה. המס השולי המוטל על יחידים (שכירים ועצמאים) עומד על כ-50% בהכנסות גבוהות, וזהו שיעור מקורב לשיעור המס הכולל המשולם על ידי בעל מניות מהותי בהפקת ההכנסה על ידי חברה. כך, אופן הפקת ההכנסה – באמצעות חברה או באופן ישיר, לא משפיע על גובה המס אשר יוטל על הפעילות, ולא נוצר תמריץ חיובי או שלילי ליחידים להתאגד כחברות רק לצורך תכנון מס. </w:t>
      </w:r>
    </w:p>
    <w:p w14:paraId="1B60F395" w14:textId="77777777" w:rsidR="005E5F28" w:rsidRPr="001A0660" w:rsidRDefault="005E5F28" w:rsidP="005E5F28">
      <w:pPr>
        <w:rPr>
          <w:rtl/>
        </w:rPr>
      </w:pPr>
      <w:r w:rsidRPr="001A0660">
        <w:rPr>
          <w:rtl/>
        </w:rPr>
        <w:t xml:space="preserve">עם זאת, שיטת המיסוי הדו-שלבי, מייצרת יתרון מובהק לפעילות באמצעות חברה בהתייחס לעיתוי תשלום המס על ההכנסה. בעוד עצמאי נדרש לשלם את כלל המס החל עליו במועד הפקת ההכנסה, בפעילות באמצעות חברה, נדחה תשלום המס עד המועד שבו הרווחים מחולקים לבעלי המניות. </w:t>
      </w:r>
      <w:r w:rsidR="002B0CD4">
        <w:rPr>
          <w:rFonts w:hint="cs"/>
          <w:rtl/>
        </w:rPr>
        <w:t xml:space="preserve">מבחינה ציבורית, יש תועלת </w:t>
      </w:r>
      <w:r w:rsidRPr="001A0660">
        <w:rPr>
          <w:rtl/>
        </w:rPr>
        <w:t xml:space="preserve">בדחיית מועד תשלום המס בשלב השני </w:t>
      </w:r>
      <w:r w:rsidR="002B0CD4">
        <w:rPr>
          <w:rFonts w:hint="cs"/>
          <w:rtl/>
        </w:rPr>
        <w:t>מכיוון</w:t>
      </w:r>
      <w:r w:rsidRPr="001A0660">
        <w:rPr>
          <w:rtl/>
        </w:rPr>
        <w:t xml:space="preserve"> שהדחייה מייצרת תמריץ מיסויי לחברה לבצע השקעות ולהגדיל את פעילותה. באופן זה, המדינה "מוותרת" למשך תקופה על מס הדיבידנד ומשתתפת למעשה במימון ההשקעה, תוך הבנה כי הדבר יביא להגדלת הפעילות הריאלית במשק, עידוד צמיחה והגדלת הרווחה בטווח הארוך, שתתבטא גם בהכנסות ממס בהמשך.</w:t>
      </w:r>
    </w:p>
    <w:p w14:paraId="716D5977" w14:textId="77777777" w:rsidR="005E5F28" w:rsidRPr="001A0660" w:rsidRDefault="005E5F28" w:rsidP="005E5F28">
      <w:pPr>
        <w:rPr>
          <w:rtl/>
        </w:rPr>
      </w:pPr>
      <w:r w:rsidRPr="001A0660">
        <w:rPr>
          <w:rtl/>
        </w:rPr>
        <w:t>יחד עם זאת, בפועל, כתוצאה ממערך התמריצים הקיים, חלק מהחברות צוברות את הרווחים (לאחר תשלום מס חברות) ובוחרות להשקיען בהשקעות פסיביות (בעיקר בשוק ההון ובנדל"ן) ולא בהשקעות ריאליות. חברות אלה נמנעות מחלוקת הרווחים כדיבידנדים ליחיד, ומשמשות ליחיד כמעין "ארנק", בו הוא אוגר את הונו. הימנעות בעל המניות מתשלום השלב השני במיסוי הדו-שלבי, מותיר בידיו סכום גבוה יותר הזמין להשקעה על ידי החברה, והרווחים מהשקעות אלה ממוסים גם הם רק בשלב הראשון ומושקעים פעם נוספת. כתוצאה מכך, בחברות אלה המס על הדיבידנד אינו נדחה באופן זמני, אלא דה-פקטו הדחייה היא פרמננטית. הרווחים הלא-מחולקים בחברות אלה כמעט ולא משמשים להגדלת הפעילות העסקית שהביאה להפקתם או לפעילות כלכלית ריאלית אחרת. מובן שהתנהלות זו בחברות אלו עומדת בסתירה גמורה לתכלית המחוקק, שכן בעוד שהשקעות ריאליות הן המטרה שלשמה אפשר המחוקק את דחיית המס במודל הדו-שלבי, בחברות אלו השקעות אלו אינן מבוצעות והמנגנון משמש בעיקר ככלי להקטנת חבות המס של בעל המניות.</w:t>
      </w:r>
    </w:p>
    <w:p w14:paraId="0B0E2F3B" w14:textId="77777777" w:rsidR="005E5F28" w:rsidRPr="001A0660" w:rsidRDefault="005E5F28" w:rsidP="005E5F28">
      <w:pPr>
        <w:rPr>
          <w:rtl/>
        </w:rPr>
      </w:pPr>
      <w:r w:rsidRPr="001A0660">
        <w:rPr>
          <w:rtl/>
        </w:rPr>
        <w:t>מצב זה כרוך באובדן הכנסות המדינה של מיליארדי שקלים חדשים בשנה, שמשמעותו העלאת מסים אחרים הפוגעים בפעילות הכלכלית, או גיוס חוב הכרוך בנטל פיסקלי בהווה ובעתיד. בנוסף, תכנון המס המבוצע באמצעות חברות ארנק משמש רק בעלי הכנסות מאוד גבוהות, כך שההשלכות החלוקתיות של פרצה זו הן רגרסיביות, ופוגעות פגיעה משמעותית ביכולת של מערכת המס לגבות מס באופן פרוגרסיבי.</w:t>
      </w:r>
    </w:p>
    <w:p w14:paraId="3A36ADCB" w14:textId="77777777" w:rsidR="005E5F28" w:rsidRPr="001A0660" w:rsidRDefault="005E5F28" w:rsidP="005E5F28">
      <w:pPr>
        <w:rPr>
          <w:rtl/>
        </w:rPr>
      </w:pPr>
      <w:r w:rsidRPr="001A0660">
        <w:rPr>
          <w:rtl/>
        </w:rPr>
        <w:t>במהלך החודשים ינואר עד אוגוסט 2024 התכנס צוות בראשות מנכ"ל משרד האוצר לבחון את סוגיית הרווחים הלא-מחולקים. הצוות הורכב מנציגי לשכת המנכ"ל, רשות המסים, אגף הכלכלן הראשי, אגף תקציבים והלשכה המשפטית במשרד האוצר. במסגרת עבודתו, הצוות בחר להתמקד בחברות ארנק – חברות בהן בעלי מניות מעטים, לרוב בעל מניות יחיד, משמשות את בעל המניות ככלי תאגידי לצבירת כספים תוך תשלום המס המופחת החל על חברות, בלא שההתאגדות מביאה לתועלת משקית מהותית.</w:t>
      </w:r>
    </w:p>
    <w:p w14:paraId="5EB629E6" w14:textId="77777777" w:rsidR="005E5F28" w:rsidRPr="001A0660" w:rsidRDefault="005E5F28" w:rsidP="005E5F28">
      <w:pPr>
        <w:rPr>
          <w:rtl/>
        </w:rPr>
      </w:pPr>
      <w:r w:rsidRPr="001A0660">
        <w:rPr>
          <w:rtl/>
        </w:rPr>
        <w:t xml:space="preserve">המלצות הצוות מבקשות לטפל בשני סוגים של חברות ארנק. </w:t>
      </w:r>
    </w:p>
    <w:p w14:paraId="0D723EA4" w14:textId="77777777" w:rsidR="005E5F28" w:rsidRPr="001A0660" w:rsidRDefault="005E5F28" w:rsidP="005E5F28">
      <w:pPr>
        <w:rPr>
          <w:rtl/>
        </w:rPr>
      </w:pPr>
      <w:r w:rsidRPr="001A0660">
        <w:rPr>
          <w:rtl/>
        </w:rPr>
        <w:t xml:space="preserve">הסוג הראשון המטופל במסגרת ההמלצות הוא סוג של חברות אשר עיקר הרווחים שלהן נובעים מפעילות בעל המניות בעסק (להלן – </w:t>
      </w:r>
      <w:r w:rsidRPr="001A0660">
        <w:rPr>
          <w:b/>
          <w:bCs/>
          <w:rtl/>
        </w:rPr>
        <w:t>חברות ארנק פעילות</w:t>
      </w:r>
      <w:r w:rsidRPr="001A0660">
        <w:rPr>
          <w:rtl/>
        </w:rPr>
        <w:t>). בחברות אלה, במקום שבעל המניות ישלם מס על סכום הכנסות המשקפות את תרומתו האמיתית לפעילות העסק, הוא מושך מהחברה סכום נמוך המספק לו למחיה – בדרך כלל כמשכורת או כדיבידנד – כאשר יתרת ההכנסה אשר הפיק נותר בחברה ומשולם בשלו מס נמוך.</w:t>
      </w:r>
    </w:p>
    <w:p w14:paraId="72D9C422" w14:textId="77777777" w:rsidR="005E5F28" w:rsidRPr="001A0660" w:rsidRDefault="005E5F28" w:rsidP="005E5F28">
      <w:pPr>
        <w:rPr>
          <w:rtl/>
        </w:rPr>
      </w:pPr>
      <w:r w:rsidRPr="001A0660">
        <w:rPr>
          <w:rtl/>
        </w:rPr>
        <w:t xml:space="preserve">הסוג השני של חברות אשר הומלץ לטפל בהן הוא </w:t>
      </w:r>
      <w:r w:rsidRPr="001A0660">
        <w:rPr>
          <w:b/>
          <w:bCs/>
          <w:rtl/>
        </w:rPr>
        <w:t>חברות החזקה</w:t>
      </w:r>
      <w:r w:rsidRPr="001A0660">
        <w:rPr>
          <w:rtl/>
        </w:rPr>
        <w:t>. חברות אלה הן חברות ללא פעילות עסקית משמעותית, ומרבית הכנסותיהן פסיביות (הכנסות מדיבידנד, ריבית, רווחי הון וכו'), והן משמשות יחיד שמחזיק בהן ככלי לביצוע השקעות ללא תשלום המס המלא. במקרים רבים, כספי החברה המושקעים הם רווחים שנבעו מפעילות עסקית אחרת שלא שולם בשלה השלב השני של המס. במקום להעביר את הרווחים מאותה פעילות ליחיד אשר ישלים את תשלום המס הנדרש לפי המודל הדו-שלבי, הכספים מועברים לחברת הארנק המשקיעה אותם באפיקים דומים לאלה שיחידים משקיעים בהם את חסכונותיהם. כאשר ההבדל הוא, שאותם יחידים משקיעים את הכספים לאחר ששולם עליהם המס, ומשלמים על הרווחים את המס המלא כקבוע בחוק. חברות האחזקה מאופיינות במיעוט בעלי שליטה השולטים שליטה מלאה בפעילות החברה ובחלוקת הדיבידנדים (או באי חלוקתם), והן יכולות להיות בעלות מנעד רחב של היקפי הכנסות, הכל כתלות בהיקף ההחזקות של החברה.</w:t>
      </w:r>
    </w:p>
    <w:p w14:paraId="27465326" w14:textId="77777777" w:rsidR="00B465EB" w:rsidRPr="001A0660" w:rsidRDefault="005E5F28" w:rsidP="005E5F28">
      <w:pPr>
        <w:rPr>
          <w:rtl/>
        </w:rPr>
      </w:pPr>
      <w:r w:rsidRPr="001A0660">
        <w:rPr>
          <w:rtl/>
        </w:rPr>
        <w:t>על אף ששני סוגי החברות הללו מוגדרות חברות ארנק, קיימים מאפיינים רבים המבחינים ביניהן – כגון: היקף הרווחים, מקורות ההכנסה ושיעור הרווחיות. עם זאת, הדומה בין סוגי החברות הוא שמשטר המס הנוכחי מאפשר להן להימנע מחלוקת רווחים כדיבידנד לבעלי החברה, תוך שהן משמשות כאמור לבעלי החברה כמעין "ארנק" לאגירת כספים בסביבת מיסוי מיטיבה.</w:t>
      </w:r>
      <w:r w:rsidRPr="001A0660">
        <w:rPr>
          <w:rFonts w:hint="cs"/>
          <w:rtl/>
        </w:rPr>
        <w:t xml:space="preserve"> </w:t>
      </w:r>
      <w:r w:rsidRPr="001A0660">
        <w:rPr>
          <w:rtl/>
        </w:rPr>
        <w:t>לאחר בחינת הנעשה בעולם ובחינת חלופת שונות, הצוות ממליץ על ביצוע מספר תיקונים, לצורך טיפול בכל אחד מסוגי חברות הארנק</w:t>
      </w:r>
      <w:r w:rsidRPr="001A0660">
        <w:rPr>
          <w:rFonts w:hint="cs"/>
          <w:rtl/>
        </w:rPr>
        <w:t>.</w:t>
      </w:r>
    </w:p>
    <w:p w14:paraId="4FF0A9F4" w14:textId="77777777" w:rsidR="005E5F28" w:rsidRPr="001A0660" w:rsidRDefault="005E5F28" w:rsidP="005E5F28">
      <w:pPr>
        <w:rPr>
          <w:rtl/>
        </w:rPr>
      </w:pPr>
      <w:r w:rsidRPr="001A0660">
        <w:rPr>
          <w:rFonts w:hint="cs"/>
          <w:rtl/>
        </w:rPr>
        <w:t xml:space="preserve">לגבי חברות ארנק פעילות מוצעים מספר תיקונים בסעיף 62א לפקודה, העוסק במיסוי בעל מניות מהותי בחברת מעטים. סעיף זה אשר נחקק במסגרת </w:t>
      </w:r>
      <w:r w:rsidRPr="001A0660">
        <w:rPr>
          <w:rtl/>
        </w:rPr>
        <w:t xml:space="preserve">חוק ההתייעלות הכלכלית (תיקוני חקיקה ליישום המדיניות הכלכלית לשנות התקציב 2017 ו-2018), </w:t>
      </w:r>
      <w:r w:rsidRPr="001A0660">
        <w:rPr>
          <w:rFonts w:hint="cs"/>
          <w:rtl/>
        </w:rPr>
        <w:t>ה</w:t>
      </w:r>
      <w:r w:rsidRPr="001A0660">
        <w:rPr>
          <w:rtl/>
        </w:rPr>
        <w:t>תשע"ז-2016</w:t>
      </w:r>
      <w:r w:rsidRPr="001A0660">
        <w:rPr>
          <w:rFonts w:hint="cs"/>
          <w:rtl/>
        </w:rPr>
        <w:t xml:space="preserve">, ונכנס לתוקף בשנת 2017 (להלן </w:t>
      </w:r>
      <w:r w:rsidRPr="001A0660">
        <w:rPr>
          <w:rtl/>
        </w:rPr>
        <w:t>–</w:t>
      </w:r>
      <w:r w:rsidRPr="001A0660">
        <w:rPr>
          <w:rFonts w:hint="cs"/>
          <w:rtl/>
        </w:rPr>
        <w:t xml:space="preserve"> </w:t>
      </w:r>
      <w:r w:rsidRPr="001A0660">
        <w:rPr>
          <w:rFonts w:hint="cs"/>
          <w:b/>
          <w:bCs/>
          <w:rtl/>
        </w:rPr>
        <w:t>תיקון</w:t>
      </w:r>
      <w:r w:rsidRPr="001A0660">
        <w:rPr>
          <w:b/>
          <w:bCs/>
          <w:rtl/>
        </w:rPr>
        <w:t xml:space="preserve"> 2017</w:t>
      </w:r>
      <w:r w:rsidRPr="001A0660">
        <w:rPr>
          <w:rFonts w:hint="cs"/>
          <w:rtl/>
        </w:rPr>
        <w:t>), נועד לטפל בתופעה דומה לזו אשר מוצע לטפל בה כבהצעה זו. תיקון 2017 נועד להקשות על ה</w:t>
      </w:r>
      <w:r w:rsidRPr="001A0660">
        <w:rPr>
          <w:rtl/>
        </w:rPr>
        <w:t>תופעה של עובדים שכירים בחברות</w:t>
      </w:r>
      <w:r w:rsidRPr="001A0660">
        <w:rPr>
          <w:rFonts w:hint="cs"/>
          <w:rtl/>
        </w:rPr>
        <w:t xml:space="preserve"> או נושאי משרה בהן</w:t>
      </w:r>
      <w:r w:rsidRPr="001A0660">
        <w:rPr>
          <w:rtl/>
        </w:rPr>
        <w:t>, בעיקר ברמות השכר הגבוהות</w:t>
      </w:r>
      <w:r w:rsidRPr="001A0660">
        <w:rPr>
          <w:rFonts w:hint="cs"/>
          <w:rtl/>
        </w:rPr>
        <w:t>,</w:t>
      </w:r>
      <w:r w:rsidRPr="001A0660">
        <w:t xml:space="preserve"> </w:t>
      </w:r>
      <w:r w:rsidRPr="001A0660">
        <w:rPr>
          <w:rtl/>
        </w:rPr>
        <w:t>המפסיקים את עבודתם כשכירים באותן חברות אך ממשיכים לתת להן את אותם שירותים באמצעות חברה בשליטתם, כאשר בפן המהותי מתקיימים יחסים הדומים במהותם ליחסי</w:t>
      </w:r>
      <w:r w:rsidRPr="001A0660">
        <w:rPr>
          <w:rFonts w:hint="cs"/>
          <w:rtl/>
        </w:rPr>
        <w:t>ם שהיו קיימים בין היחיד</w:t>
      </w:r>
      <w:r w:rsidRPr="001A0660">
        <w:rPr>
          <w:rtl/>
        </w:rPr>
        <w:t xml:space="preserve">, נותן השירות, לבין החברה מקבלת השירות (להלן – </w:t>
      </w:r>
      <w:r w:rsidRPr="001A0660">
        <w:rPr>
          <w:rFonts w:hint="eastAsia"/>
          <w:b/>
          <w:bCs/>
          <w:rtl/>
        </w:rPr>
        <w:t>חברת</w:t>
      </w:r>
      <w:r w:rsidRPr="001A0660">
        <w:rPr>
          <w:b/>
          <w:bCs/>
          <w:rtl/>
        </w:rPr>
        <w:t xml:space="preserve"> </w:t>
      </w:r>
      <w:r w:rsidRPr="001A0660">
        <w:rPr>
          <w:rFonts w:hint="eastAsia"/>
          <w:b/>
          <w:bCs/>
          <w:rtl/>
        </w:rPr>
        <w:t>שכיר</w:t>
      </w:r>
      <w:r w:rsidRPr="001A0660">
        <w:rPr>
          <w:rFonts w:hint="cs"/>
          <w:rtl/>
        </w:rPr>
        <w:t>)</w:t>
      </w:r>
      <w:r w:rsidRPr="001A0660">
        <w:rPr>
          <w:rtl/>
        </w:rPr>
        <w:t>.</w:t>
      </w:r>
      <w:r w:rsidRPr="001A0660">
        <w:rPr>
          <w:rFonts w:hint="cs"/>
          <w:rtl/>
        </w:rPr>
        <w:t xml:space="preserve"> לפי סעיף 62א אשר נחקק בתיקון 2017, במקרים אלה, יש </w:t>
      </w:r>
      <w:r w:rsidRPr="001A0660">
        <w:rPr>
          <w:rtl/>
        </w:rPr>
        <w:t xml:space="preserve">להתעלם מקיומה של החברה לעניין זה, ולחייב את בעל המניות נותן השירות, באופן ישיר, במס על כלל ההכנסות הנובעות לחברה מיגיעתו האישית. </w:t>
      </w:r>
      <w:r w:rsidRPr="001A0660">
        <w:rPr>
          <w:rFonts w:hint="eastAsia"/>
          <w:rtl/>
        </w:rPr>
        <w:t>כעת</w:t>
      </w:r>
      <w:r w:rsidRPr="001A0660">
        <w:rPr>
          <w:rtl/>
        </w:rPr>
        <w:t xml:space="preserve">, מוצע לטפל במספר פרצות שנותרו ביחס </w:t>
      </w:r>
      <w:r w:rsidRPr="001A0660">
        <w:rPr>
          <w:rFonts w:hint="eastAsia"/>
          <w:rtl/>
        </w:rPr>
        <w:t>לחברות</w:t>
      </w:r>
      <w:r w:rsidRPr="001A0660">
        <w:rPr>
          <w:rtl/>
        </w:rPr>
        <w:t xml:space="preserve"> </w:t>
      </w:r>
      <w:r w:rsidRPr="001A0660">
        <w:rPr>
          <w:rFonts w:hint="eastAsia"/>
          <w:rtl/>
        </w:rPr>
        <w:t>השכירים</w:t>
      </w:r>
      <w:r w:rsidRPr="001A0660">
        <w:rPr>
          <w:rFonts w:hint="cs"/>
          <w:rtl/>
        </w:rPr>
        <w:t xml:space="preserve"> אשר טופלו במסגרת תיקון 2017, </w:t>
      </w:r>
    </w:p>
    <w:p w14:paraId="5EB4C49D" w14:textId="77777777" w:rsidR="005E5F28" w:rsidRPr="001A0660" w:rsidRDefault="005E5F28" w:rsidP="005E5F28">
      <w:pPr>
        <w:rPr>
          <w:rtl/>
        </w:rPr>
      </w:pPr>
      <w:r w:rsidRPr="001A0660">
        <w:rPr>
          <w:rFonts w:hint="cs"/>
          <w:rtl/>
        </w:rPr>
        <w:t>כמו כן, מוצע להוסיף את סעיף קטן 62א(א1) אשר י</w:t>
      </w:r>
      <w:r w:rsidRPr="001A0660">
        <w:rPr>
          <w:rFonts w:hint="eastAsia"/>
          <w:rtl/>
        </w:rPr>
        <w:t>תייחס</w:t>
      </w:r>
      <w:r w:rsidRPr="001A0660">
        <w:rPr>
          <w:rtl/>
        </w:rPr>
        <w:t xml:space="preserve"> </w:t>
      </w:r>
      <w:r w:rsidRPr="001A0660">
        <w:rPr>
          <w:rFonts w:hint="eastAsia"/>
          <w:rtl/>
        </w:rPr>
        <w:t>למקרים</w:t>
      </w:r>
      <w:r w:rsidRPr="001A0660">
        <w:rPr>
          <w:rtl/>
        </w:rPr>
        <w:t xml:space="preserve"> </w:t>
      </w:r>
      <w:r w:rsidRPr="001A0660">
        <w:rPr>
          <w:rFonts w:hint="eastAsia"/>
          <w:rtl/>
        </w:rPr>
        <w:t>מובהקים</w:t>
      </w:r>
      <w:r w:rsidRPr="001A0660">
        <w:rPr>
          <w:rtl/>
        </w:rPr>
        <w:t xml:space="preserve"> </w:t>
      </w:r>
      <w:r w:rsidRPr="001A0660">
        <w:rPr>
          <w:rFonts w:hint="eastAsia"/>
          <w:rtl/>
        </w:rPr>
        <w:t>אחרים</w:t>
      </w:r>
      <w:r w:rsidRPr="001A0660">
        <w:rPr>
          <w:rtl/>
        </w:rPr>
        <w:t xml:space="preserve"> של חברות ארנק פעילות אשר לא נכללו בגדר החברות שחל לגביהן </w:t>
      </w:r>
      <w:r w:rsidRPr="001A0660">
        <w:rPr>
          <w:rFonts w:hint="cs"/>
          <w:rtl/>
        </w:rPr>
        <w:t>התיקון האמור</w:t>
      </w:r>
      <w:r w:rsidRPr="001A0660">
        <w:rPr>
          <w:rtl/>
        </w:rPr>
        <w:t>.</w:t>
      </w:r>
      <w:r w:rsidRPr="001A0660">
        <w:rPr>
          <w:rFonts w:hint="cs"/>
          <w:rtl/>
        </w:rPr>
        <w:t xml:space="preserve"> חלופה זו</w:t>
      </w:r>
      <w:r w:rsidRPr="001A0660">
        <w:rPr>
          <w:rtl/>
        </w:rPr>
        <w:t xml:space="preserve"> תחול על חברות מעטים עסקיות שיש להן שיעור רווחיות גבוה מהרגיל מפעילות עתירת יגיעה אישית. הכנסה מפעילות עתירת יגיעה אישית, כפי ש</w:t>
      </w:r>
      <w:r w:rsidRPr="001A0660">
        <w:rPr>
          <w:rFonts w:hint="cs"/>
          <w:rtl/>
        </w:rPr>
        <w:t>מ</w:t>
      </w:r>
      <w:r w:rsidRPr="001A0660">
        <w:rPr>
          <w:rtl/>
        </w:rPr>
        <w:t xml:space="preserve">וסבר </w:t>
      </w:r>
      <w:r w:rsidRPr="001A0660">
        <w:rPr>
          <w:rFonts w:hint="cs"/>
          <w:rtl/>
        </w:rPr>
        <w:t>בדברי ההסבר בהרחבה</w:t>
      </w:r>
      <w:r w:rsidRPr="001A0660">
        <w:rPr>
          <w:rtl/>
        </w:rPr>
        <w:t xml:space="preserve">, היא פעילות אקטיבית, שהמרכיב הדומיננטי בהפקתה הוא יגיעה אישית. שיעור רווחיות גבוה מפעילות כאמור, נובעת לרוב, מפעילות של בעלי המניות אשר מותירים חלק גדול מההכנסה שהפיקו בתוך החברה לצורך הימנעות מתשלום המס השולי החל עליהם, כאשר מבחינה מהותית הכנסה זו הייתה צריכה להגיע אליהם באופן ישיר. </w:t>
      </w:r>
    </w:p>
    <w:p w14:paraId="57E7A61B" w14:textId="77777777" w:rsidR="005E5F28" w:rsidRPr="001A0660" w:rsidRDefault="005E5F28" w:rsidP="004D16F6">
      <w:pPr>
        <w:rPr>
          <w:rtl/>
        </w:rPr>
      </w:pPr>
      <w:r w:rsidRPr="001A0660">
        <w:rPr>
          <w:rtl/>
        </w:rPr>
        <w:t xml:space="preserve">לגבי חברות כאמור, מוצע לקבוע שבעל המניות המהותי הפעיל בחברה (קרי, שהכנסת החברה, כולה או חלקה, מופקת מיגיעתו האישית של בעל המניות), יחויב במס שולי על חלקו בהכנסה החייבת של החברה מפעילות עתירת יגיעה אישית העולה על שיעור של 25% מההכנסה האמורה. הסכום האמור יופחת ככל ששיעור הרווחיות של החברה עולה עד לשחיקה מלאה בשיעור רווחיות מעסק של 100%, במנגנון של "תקרה מתקפלת". </w:t>
      </w:r>
    </w:p>
    <w:p w14:paraId="6CDC494D" w14:textId="77777777" w:rsidR="005E5F28" w:rsidRPr="001A0660" w:rsidRDefault="005E5F28" w:rsidP="005E5F28">
      <w:pPr>
        <w:rPr>
          <w:rtl/>
        </w:rPr>
      </w:pPr>
      <w:r w:rsidRPr="001A0660">
        <w:rPr>
          <w:rtl/>
        </w:rPr>
        <w:t>שיעור הרווחיות מאפשר לזהות בוודאות קרובה חברות שעיקר ההכנסה שלהן נובע ממשלח ידם או מפעילותם של בעלי מניותיהן, שכן מדובר בשיעור רווח חריג שלא אופייני לחברה שיש לה פעילות עסקית משמעותית המחייבת השקעה ברכוש קבוע ובעובדים. יחד עם זאת, מנגנון המיסוי המוצע מאפשר מיסוי בשיעור מס חברות עד לשיעור מהמחזור שמצביע על שיעור רווחיות סביר של חברות, אם כי בטווח הגבוה, וזאת בשם עיקרון השמרנות. ככל ששיעור הרווחיות עולה, כך הניכוי בשל שיעור הרווחיות ה"נורמלי" נשחק עד למחיקה שלו בשיעור רווחיות של 100%. שיעור שמייצג חברות שאין להן הוצאות כלל.</w:t>
      </w:r>
    </w:p>
    <w:p w14:paraId="59F4F39A" w14:textId="77777777" w:rsidR="00B465EB" w:rsidRPr="001A0660" w:rsidRDefault="00B465EB" w:rsidP="005E5F28">
      <w:pPr>
        <w:rPr>
          <w:rtl/>
        </w:rPr>
      </w:pPr>
    </w:p>
    <w:p w14:paraId="253232B0" w14:textId="77777777" w:rsidR="00B465EB" w:rsidRPr="001A0660" w:rsidRDefault="00B465EB" w:rsidP="00B465EB">
      <w:pPr>
        <w:rPr>
          <w:rtl/>
        </w:rPr>
      </w:pPr>
      <w:r w:rsidRPr="001A0660">
        <w:rPr>
          <w:rFonts w:hint="cs"/>
          <w:rtl/>
        </w:rPr>
        <w:t xml:space="preserve">לגבי חברות החזקה </w:t>
      </w:r>
      <w:r w:rsidR="005E5F28" w:rsidRPr="001A0660">
        <w:rPr>
          <w:rtl/>
        </w:rPr>
        <w:t xml:space="preserve">מוצעים תיקונים המבקשים להקשות על יצירת חברות ארנק מסוג </w:t>
      </w:r>
      <w:r w:rsidRPr="001A0660">
        <w:rPr>
          <w:rFonts w:hint="cs"/>
          <w:rtl/>
        </w:rPr>
        <w:t>זה</w:t>
      </w:r>
      <w:r w:rsidR="005E5F28" w:rsidRPr="001A0660">
        <w:rPr>
          <w:rtl/>
        </w:rPr>
        <w:t xml:space="preserve"> לצורך תכנון מס.</w:t>
      </w:r>
      <w:r w:rsidRPr="001A0660">
        <w:rPr>
          <w:rFonts w:hint="cs"/>
          <w:rtl/>
        </w:rPr>
        <w:t xml:space="preserve"> כיום, הסעיף העיקרי המתייחס באופן מיוחד לבעיות שמתעוררות בשל קיומן של חברות  החזקה כפי שפורטו לעיל, הוא </w:t>
      </w:r>
      <w:r w:rsidRPr="001A0660">
        <w:rPr>
          <w:rtl/>
        </w:rPr>
        <w:t xml:space="preserve">סעיף 77 </w:t>
      </w:r>
      <w:r w:rsidRPr="001A0660">
        <w:rPr>
          <w:rFonts w:hint="cs"/>
          <w:rtl/>
        </w:rPr>
        <w:t>לפקודה אשר תוקן באופן נרחב במסגרת תיקון 2017</w:t>
      </w:r>
      <w:r w:rsidRPr="001A0660">
        <w:rPr>
          <w:rtl/>
        </w:rPr>
        <w:t xml:space="preserve">. הסעיף </w:t>
      </w:r>
      <w:r w:rsidRPr="001A0660">
        <w:rPr>
          <w:rFonts w:hint="cs"/>
          <w:rtl/>
        </w:rPr>
        <w:t xml:space="preserve">כנוסחו היום </w:t>
      </w:r>
      <w:r w:rsidRPr="001A0660">
        <w:rPr>
          <w:rtl/>
        </w:rPr>
        <w:t xml:space="preserve">מסמיך את </w:t>
      </w:r>
      <w:r w:rsidRPr="001A0660">
        <w:rPr>
          <w:rFonts w:hint="cs"/>
          <w:rtl/>
        </w:rPr>
        <w:t>ה</w:t>
      </w:r>
      <w:r w:rsidRPr="001A0660">
        <w:rPr>
          <w:rtl/>
        </w:rPr>
        <w:t xml:space="preserve">מנהל, לאחר שהתייעץ עם ועדה ציבורית, להורות </w:t>
      </w:r>
      <w:r w:rsidRPr="001A0660">
        <w:rPr>
          <w:rFonts w:hint="cs"/>
          <w:rtl/>
        </w:rPr>
        <w:t>שימוסו</w:t>
      </w:r>
      <w:r w:rsidRPr="001A0660">
        <w:rPr>
          <w:rtl/>
        </w:rPr>
        <w:t xml:space="preserve"> </w:t>
      </w:r>
      <w:r w:rsidRPr="001A0660">
        <w:rPr>
          <w:rFonts w:hint="cs"/>
          <w:rtl/>
        </w:rPr>
        <w:t>חלק מה</w:t>
      </w:r>
      <w:r w:rsidRPr="001A0660">
        <w:rPr>
          <w:rtl/>
        </w:rPr>
        <w:t xml:space="preserve">רווחים לא-מחולקים של חברת מעטים </w:t>
      </w:r>
      <w:r w:rsidRPr="001A0660">
        <w:rPr>
          <w:rFonts w:hint="cs"/>
          <w:rtl/>
        </w:rPr>
        <w:t>כאילו הם חולקו, ובלבד ש</w:t>
      </w:r>
      <w:r w:rsidRPr="001A0660">
        <w:rPr>
          <w:rtl/>
        </w:rPr>
        <w:t>אלה לא חולקו לאחר חמש שנים ממועד צבירתם.</w:t>
      </w:r>
      <w:r w:rsidRPr="001A0660">
        <w:rPr>
          <w:rFonts w:hint="cs"/>
          <w:rtl/>
        </w:rPr>
        <w:t xml:space="preserve"> </w:t>
      </w:r>
      <w:r w:rsidRPr="001A0660">
        <w:rPr>
          <w:rtl/>
        </w:rPr>
        <w:t>הסעיף קובע</w:t>
      </w:r>
      <w:r w:rsidRPr="001A0660">
        <w:rPr>
          <w:rFonts w:hint="cs"/>
          <w:rtl/>
        </w:rPr>
        <w:t>,</w:t>
      </w:r>
      <w:r w:rsidRPr="001A0660">
        <w:rPr>
          <w:rtl/>
        </w:rPr>
        <w:t xml:space="preserve"> בין היתר, כי </w:t>
      </w:r>
      <w:r w:rsidRPr="001A0660">
        <w:rPr>
          <w:rFonts w:hint="cs"/>
          <w:rtl/>
        </w:rPr>
        <w:t>ניתן לתת הוראה כאמור רק אם תוצאת אי החלוקה מביאה</w:t>
      </w:r>
      <w:r w:rsidRPr="001A0660">
        <w:rPr>
          <w:rtl/>
        </w:rPr>
        <w:t xml:space="preserve"> </w:t>
      </w:r>
      <w:r w:rsidRPr="001A0660">
        <w:rPr>
          <w:rFonts w:hint="cs"/>
          <w:rtl/>
        </w:rPr>
        <w:t>ל</w:t>
      </w:r>
      <w:r w:rsidRPr="001A0660">
        <w:rPr>
          <w:rtl/>
        </w:rPr>
        <w:t>הימנעות או הפחתת מס, וכי</w:t>
      </w:r>
      <w:r w:rsidRPr="001A0660">
        <w:rPr>
          <w:rFonts w:hint="cs"/>
          <w:rtl/>
        </w:rPr>
        <w:t xml:space="preserve"> </w:t>
      </w:r>
      <w:r w:rsidRPr="001A0660">
        <w:rPr>
          <w:rtl/>
        </w:rPr>
        <w:t>יש ביד</w:t>
      </w:r>
      <w:r w:rsidRPr="001A0660">
        <w:rPr>
          <w:rFonts w:hint="cs"/>
          <w:rtl/>
        </w:rPr>
        <w:t>י חברת המעטים</w:t>
      </w:r>
      <w:r w:rsidRPr="001A0660">
        <w:rPr>
          <w:rtl/>
        </w:rPr>
        <w:t xml:space="preserve"> לחלק רווחיה או חלק מהם בלי להזיק לקיומו ולפיתוחו של עסקה</w:t>
      </w:r>
      <w:r w:rsidRPr="001A0660">
        <w:rPr>
          <w:rFonts w:hint="cs"/>
          <w:rtl/>
        </w:rPr>
        <w:t xml:space="preserve">. </w:t>
      </w:r>
    </w:p>
    <w:p w14:paraId="11CF5851" w14:textId="77777777" w:rsidR="00B465EB" w:rsidRPr="001A0660" w:rsidRDefault="00B465EB" w:rsidP="00B465EB">
      <w:pPr>
        <w:rPr>
          <w:rtl/>
        </w:rPr>
      </w:pPr>
      <w:r w:rsidRPr="001A0660">
        <w:rPr>
          <w:rtl/>
        </w:rPr>
        <w:t xml:space="preserve">מניסיון שנצבר בהפעלת הסעיף, עולה כי </w:t>
      </w:r>
      <w:r w:rsidRPr="001A0660">
        <w:rPr>
          <w:rFonts w:hint="cs"/>
          <w:rtl/>
        </w:rPr>
        <w:t>ה</w:t>
      </w:r>
      <w:r w:rsidRPr="001A0660">
        <w:rPr>
          <w:rtl/>
        </w:rPr>
        <w:t xml:space="preserve">דרישות </w:t>
      </w:r>
      <w:r w:rsidRPr="001A0660">
        <w:rPr>
          <w:rFonts w:hint="cs"/>
          <w:rtl/>
        </w:rPr>
        <w:t xml:space="preserve">המצויות בסעיף, ובעיקר הצורך בבחינה פרטנית של מצבה העסקי של כל חברה לצורך הפעלת הסעיף, </w:t>
      </w:r>
      <w:r w:rsidRPr="001A0660">
        <w:rPr>
          <w:rtl/>
        </w:rPr>
        <w:t xml:space="preserve">מקשות על יישומו באופן יעיל, גם במקרים מובהקים. על כן, </w:t>
      </w:r>
      <w:r w:rsidRPr="001A0660">
        <w:rPr>
          <w:rFonts w:hint="cs"/>
          <w:rtl/>
        </w:rPr>
        <w:t>מוצע לקבוע מודל נורמטיבי ש</w:t>
      </w:r>
      <w:r w:rsidRPr="001A0660">
        <w:rPr>
          <w:rtl/>
        </w:rPr>
        <w:t>י</w:t>
      </w:r>
      <w:r w:rsidRPr="001A0660">
        <w:rPr>
          <w:rFonts w:hint="cs"/>
          <w:rtl/>
        </w:rPr>
        <w:t>תמרץ חלוקה של רווחים שאינם משמשים במישרין את הפעילות של החברה, כך שהחברה תישא ב</w:t>
      </w:r>
      <w:r w:rsidRPr="001A0660">
        <w:rPr>
          <w:rtl/>
        </w:rPr>
        <w:t xml:space="preserve">עלות </w:t>
      </w:r>
      <w:r w:rsidRPr="001A0660">
        <w:rPr>
          <w:rFonts w:hint="cs"/>
          <w:rtl/>
        </w:rPr>
        <w:t>נורמטיבית של 2% בשל שיעור מה</w:t>
      </w:r>
      <w:r w:rsidRPr="001A0660">
        <w:rPr>
          <w:rtl/>
        </w:rPr>
        <w:t>רווחים</w:t>
      </w:r>
      <w:r w:rsidRPr="001A0660">
        <w:rPr>
          <w:rFonts w:hint="cs"/>
          <w:rtl/>
        </w:rPr>
        <w:t xml:space="preserve"> הלא מחולקים ה</w:t>
      </w:r>
      <w:r w:rsidRPr="001A0660">
        <w:rPr>
          <w:rtl/>
        </w:rPr>
        <w:t xml:space="preserve">מושקעים בהשקעות פסיביות, מעבר לגובה </w:t>
      </w:r>
      <w:r w:rsidRPr="001A0660">
        <w:rPr>
          <w:rFonts w:hint="cs"/>
          <w:rtl/>
        </w:rPr>
        <w:t>מגן מס</w:t>
      </w:r>
      <w:r w:rsidRPr="001A0660">
        <w:rPr>
          <w:rtl/>
        </w:rPr>
        <w:t xml:space="preserve"> ש</w:t>
      </w:r>
      <w:r w:rsidRPr="001A0660">
        <w:rPr>
          <w:rFonts w:hint="cs"/>
          <w:rtl/>
        </w:rPr>
        <w:t>יינתן לחברות עם פעילות עסקית ריאלית</w:t>
      </w:r>
      <w:r w:rsidRPr="001A0660">
        <w:rPr>
          <w:rtl/>
        </w:rPr>
        <w:t xml:space="preserve">. </w:t>
      </w:r>
      <w:r w:rsidRPr="001A0660">
        <w:rPr>
          <w:rFonts w:hint="cs"/>
          <w:rtl/>
        </w:rPr>
        <w:t xml:space="preserve">המנגנון המוצע מייצר איזון בין הצורך למנוע את השימוש בחברות החזקה כחברות ארנק מחד, ומאידך, ברצון שלא לפגוע </w:t>
      </w:r>
      <w:r w:rsidRPr="001A0660">
        <w:rPr>
          <w:rtl/>
        </w:rPr>
        <w:t>בחברות המנהלות פעילויות ריאליות ומבצעות השקעות לצורך הגדלה והתרחבות עסקיהן.</w:t>
      </w:r>
      <w:r w:rsidRPr="001A0660">
        <w:rPr>
          <w:rFonts w:hint="cs"/>
          <w:rtl/>
        </w:rPr>
        <w:t xml:space="preserve"> </w:t>
      </w:r>
    </w:p>
    <w:p w14:paraId="5A7BCEC0" w14:textId="77777777" w:rsidR="00B465EB" w:rsidRPr="001A0660" w:rsidRDefault="00B465EB" w:rsidP="00B465EB">
      <w:pPr>
        <w:rPr>
          <w:rtl/>
        </w:rPr>
      </w:pPr>
      <w:r w:rsidRPr="001A0660">
        <w:rPr>
          <w:rFonts w:hint="cs"/>
          <w:rtl/>
        </w:rPr>
        <w:t xml:space="preserve">יצוין, שלפי המוצע, גם על הרווחים שהם מעבר למגן המס ושאינם משמשים לפעילות החברה, יחול שיעור מס מאוד נמוך. כך, ובדומה למיסים פיגוביאניים, עלות זו תהיה גבוהה מספיק בכדי להפוך את השימוש בחברות החזקה לצורך תכנון מס ללא כדאי, אך נמוכה מספיק בכדי לאפשר לחברות שיש להן רצון מיוחד שלא לחלק את הרווחים לשמור אותם בתוך החברה. </w:t>
      </w:r>
    </w:p>
    <w:p w14:paraId="5AB785D9" w14:textId="77777777" w:rsidR="00B465EB" w:rsidRPr="001A0660" w:rsidRDefault="00B465EB" w:rsidP="00B465EB">
      <w:pPr>
        <w:rPr>
          <w:rtl/>
        </w:rPr>
      </w:pPr>
      <w:r w:rsidRPr="001A0660">
        <w:rPr>
          <w:rFonts w:hint="cs"/>
          <w:rtl/>
        </w:rPr>
        <w:t>לצורך יצירת הסדר הוליסטי, מוצע להשאיר את ההסדר הקיים בסעיף 77 אשר יאפשר סנקציה חריפה יותר לטיפול במקרים הקיצוניים ביותר, וכן יאפשר טיפול, במקרים של חברות עסקיות אשר לצד הפעילות העסקית הלגיטימית שלהן משמשות גם כמקלט מס לצורך החזקת רווחים והשקעתם בצורה שלא תחול עליהם המודל הנורמטיבי החדש. לצורך כך, מוצעים גם מספר תיקונים לצורך ייעול המנגנון הפרטני שמצוי בסעיף האמור.</w:t>
      </w:r>
    </w:p>
    <w:p w14:paraId="4D96B777" w14:textId="77777777" w:rsidR="00B465EB" w:rsidRPr="001A0660" w:rsidRDefault="00B465EB" w:rsidP="00B465EB">
      <w:pPr>
        <w:rPr>
          <w:rtl/>
        </w:rPr>
      </w:pPr>
      <w:r w:rsidRPr="001A0660">
        <w:rPr>
          <w:rFonts w:hint="cs"/>
          <w:rtl/>
        </w:rPr>
        <w:t xml:space="preserve">מוצע שתחילתו של הסימן החדש, המטפל בחברות החזקה, יהיה בתחילת שנת 2025, ומובהר בסעיף שמדובר בתחולה אקטיבית והסימן יחול גם על רווחים קיימים שנצברו לפני יום התחילה. עם זאת, בשל המנגנון אשר נקבע, תהיה לחברה שנת מס מלאה שבה היא תוכל לחלק דיבידנד או להשתמש ברווחים לצרכים העסקיים שלה, והמיסוי ייקבע בהתאם למאפייני החברה בתחילת שנת 2026. כמו כן, לצורך מתן תקופה של התארגנות, מוצעת הוראת מעבר לגבי רווחים שנצברו לפני תחילת החוק אשר יקל על חלוקתן באופן מדורג. </w:t>
      </w:r>
    </w:p>
    <w:p w14:paraId="2A091DB5" w14:textId="77777777" w:rsidR="004D16F6" w:rsidRPr="001A0660" w:rsidRDefault="004D16F6" w:rsidP="00B465EB">
      <w:pPr>
        <w:rPr>
          <w:rtl/>
        </w:rPr>
      </w:pPr>
    </w:p>
    <w:p w14:paraId="3AC57B8D" w14:textId="77777777" w:rsidR="004D16F6" w:rsidRDefault="004D16F6" w:rsidP="00B465EB">
      <w:pPr>
        <w:rPr>
          <w:rtl/>
        </w:rPr>
      </w:pPr>
      <w:r w:rsidRPr="001A0660">
        <w:rPr>
          <w:rtl/>
        </w:rPr>
        <w:t xml:space="preserve">התיקון המוצע בסעיף 62א צפוי לייחס הכנסות רבות של חברות ליחידים בעלי מניות </w:t>
      </w:r>
      <w:r w:rsidRPr="001A0660">
        <w:rPr>
          <w:rFonts w:hint="cs"/>
          <w:rtl/>
        </w:rPr>
        <w:t>בחברות</w:t>
      </w:r>
      <w:r w:rsidRPr="001A0660">
        <w:rPr>
          <w:rtl/>
        </w:rPr>
        <w:t xml:space="preserve">. כבר היום </w:t>
      </w:r>
      <w:r w:rsidRPr="001A0660">
        <w:rPr>
          <w:rFonts w:hint="cs"/>
          <w:rtl/>
        </w:rPr>
        <w:t xml:space="preserve">על </w:t>
      </w:r>
      <w:r w:rsidRPr="001A0660">
        <w:rPr>
          <w:rtl/>
        </w:rPr>
        <w:t xml:space="preserve">הכנסות שנכללות בסעיף 62א </w:t>
      </w:r>
      <w:r w:rsidRPr="001A0660">
        <w:rPr>
          <w:rFonts w:hint="cs"/>
          <w:rtl/>
        </w:rPr>
        <w:t>נגבים</w:t>
      </w:r>
      <w:r w:rsidRPr="001A0660">
        <w:rPr>
          <w:rtl/>
        </w:rPr>
        <w:t xml:space="preserve"> דמי ביטוח לאומי</w:t>
      </w:r>
      <w:r w:rsidRPr="001A0660">
        <w:rPr>
          <w:rFonts w:hint="cs"/>
          <w:rtl/>
        </w:rPr>
        <w:t xml:space="preserve"> ודמי ביטוח בריאות. לאור התיקונים המוצעים לעיל בפקודה, </w:t>
      </w:r>
      <w:r w:rsidRPr="001A0660">
        <w:rPr>
          <w:rtl/>
        </w:rPr>
        <w:t>מוצע לתקן גם את חוק הביטוח הלאומי ולהבהיר שההכנסות לפי סעיף 62א ייוחסו לבעל המניות המהותי</w:t>
      </w:r>
      <w:r w:rsidRPr="001A0660">
        <w:rPr>
          <w:rFonts w:hint="cs"/>
          <w:rtl/>
        </w:rPr>
        <w:t xml:space="preserve"> כהכנסתו של עובד עצמאי וכי יחולו עליו ההוראות החלות לעניין עובד עצמאי.</w:t>
      </w:r>
    </w:p>
    <w:p w14:paraId="45219F0C" w14:textId="77777777" w:rsidR="000E39CE" w:rsidRDefault="000E39CE" w:rsidP="00B465EB">
      <w:pPr>
        <w:rPr>
          <w:rtl/>
        </w:rPr>
      </w:pPr>
    </w:p>
    <w:p w14:paraId="35DF6C7F" w14:textId="77777777" w:rsidR="000E39CE" w:rsidRDefault="000E39CE" w:rsidP="000E39CE">
      <w:pPr>
        <w:rPr>
          <w:rtl/>
        </w:rPr>
      </w:pPr>
      <w:r>
        <w:rPr>
          <w:rFonts w:hint="cs"/>
          <w:rtl/>
        </w:rPr>
        <w:t xml:space="preserve">יצוין כי תיקוני החקיקה המפורטים בתזכיר זה צפויים להיכלל כחלק מהתכנית הכלכלית לשנת 2025. </w:t>
      </w:r>
    </w:p>
    <w:p w14:paraId="57521582" w14:textId="77777777" w:rsidR="001F51EF" w:rsidRPr="001A0660" w:rsidRDefault="001F51EF" w:rsidP="00D36340">
      <w:pPr>
        <w:rPr>
          <w:rtl/>
        </w:rPr>
      </w:pPr>
    </w:p>
    <w:p w14:paraId="0310001C" w14:textId="77777777" w:rsidR="001F51EF" w:rsidRPr="001A0660" w:rsidRDefault="001F51EF" w:rsidP="00D36340">
      <w:pPr>
        <w:pStyle w:val="Heading4"/>
        <w:rPr>
          <w:rtl/>
        </w:rPr>
      </w:pPr>
      <w:bookmarkStart w:id="6" w:name="_Toc179145767"/>
      <w:r w:rsidRPr="001A0660">
        <w:rPr>
          <w:rFonts w:hint="cs"/>
          <w:rtl/>
        </w:rPr>
        <w:t>השפעת תזכיר החוק המוצע על התקציב ועל התקן המנהלי של המשרד היוזם, משרדים אחרים ורשויות אחרות.</w:t>
      </w:r>
      <w:bookmarkEnd w:id="6"/>
      <w:r w:rsidRPr="001A0660">
        <w:rPr>
          <w:rFonts w:hint="cs"/>
          <w:rtl/>
        </w:rPr>
        <w:t xml:space="preserve"> </w:t>
      </w:r>
    </w:p>
    <w:p w14:paraId="17E0EA85" w14:textId="77777777" w:rsidR="001705BB" w:rsidRPr="001A0660" w:rsidRDefault="001705BB" w:rsidP="001705BB">
      <w:pPr>
        <w:rPr>
          <w:rtl/>
        </w:rPr>
      </w:pPr>
      <w:r w:rsidRPr="001A0660">
        <w:rPr>
          <w:rtl/>
        </w:rPr>
        <w:t>הצעדים המוצעים בהצעה זו צפויים להביא לתוספת הכנסות בשנת 2025 של 10 מיליארד ש"ח, ובלבד שהחוק יעבור עד תום שנת המס 2024.</w:t>
      </w:r>
    </w:p>
    <w:p w14:paraId="2A91BA93" w14:textId="77777777" w:rsidR="001705BB" w:rsidRPr="001A0660" w:rsidRDefault="001705BB" w:rsidP="001705BB">
      <w:pPr>
        <w:rPr>
          <w:rtl/>
        </w:rPr>
      </w:pPr>
      <w:r w:rsidRPr="001A0660">
        <w:rPr>
          <w:rtl/>
        </w:rPr>
        <w:t>בשנת 2026 – צפויה תוספת הכנסות 3.6 מיליארד ש"ח.</w:t>
      </w:r>
    </w:p>
    <w:p w14:paraId="33AF641B" w14:textId="77777777" w:rsidR="001705BB" w:rsidRPr="001A0660" w:rsidRDefault="001705BB" w:rsidP="001705BB">
      <w:pPr>
        <w:rPr>
          <w:rtl/>
        </w:rPr>
      </w:pPr>
      <w:r w:rsidRPr="001A0660">
        <w:rPr>
          <w:rtl/>
        </w:rPr>
        <w:t>בשנת 2027 – 4.1 מיליארד ש"ח.</w:t>
      </w:r>
    </w:p>
    <w:p w14:paraId="6AA03D51" w14:textId="77777777" w:rsidR="001F51EF" w:rsidRPr="001A0660" w:rsidRDefault="001705BB" w:rsidP="001705BB">
      <w:pPr>
        <w:rPr>
          <w:rtl/>
        </w:rPr>
      </w:pPr>
      <w:r w:rsidRPr="001A0660">
        <w:rPr>
          <w:rtl/>
        </w:rPr>
        <w:t>בשנת 2028 ואילך – 5 מיליארד ש"ח בשנה.</w:t>
      </w:r>
    </w:p>
    <w:p w14:paraId="205D40A4" w14:textId="77777777" w:rsidR="001F51EF" w:rsidRPr="001A0660" w:rsidRDefault="001F51EF" w:rsidP="00D36340">
      <w:pPr>
        <w:rPr>
          <w:rtl/>
        </w:rPr>
      </w:pPr>
    </w:p>
    <w:p w14:paraId="3485A2DA" w14:textId="77777777" w:rsidR="001F51EF" w:rsidRPr="001A0660" w:rsidRDefault="001F51EF" w:rsidP="00D36340">
      <w:pPr>
        <w:pStyle w:val="Heading4"/>
        <w:rPr>
          <w:rtl/>
        </w:rPr>
      </w:pPr>
      <w:bookmarkStart w:id="7" w:name="_Toc179145768"/>
      <w:r w:rsidRPr="001A0660">
        <w:rPr>
          <w:rFonts w:hint="cs"/>
          <w:rtl/>
        </w:rPr>
        <w:t>להלן נוסח תזכיר החוק המוצע ודברי הסבר</w:t>
      </w:r>
      <w:bookmarkEnd w:id="7"/>
    </w:p>
    <w:p w14:paraId="05C565C8" w14:textId="77777777" w:rsidR="001F51EF" w:rsidRPr="001A0660" w:rsidRDefault="001F51EF" w:rsidP="00D36340">
      <w:pPr>
        <w:bidi w:val="0"/>
        <w:rPr>
          <w:rFonts w:asciiTheme="minorHAnsi" w:hAnsiTheme="minorHAnsi"/>
        </w:rPr>
      </w:pPr>
      <w:r w:rsidRPr="001A0660">
        <w:rPr>
          <w:rtl/>
        </w:rPr>
        <w:br w:type="page"/>
      </w:r>
    </w:p>
    <w:p w14:paraId="00DE624E" w14:textId="77777777" w:rsidR="001F51EF" w:rsidRPr="001A0660" w:rsidRDefault="001F51EF" w:rsidP="00D36340">
      <w:pPr>
        <w:pStyle w:val="HeadMitparsemetBaze"/>
        <w:keepNext w:val="0"/>
        <w:keepLines w:val="0"/>
        <w:pageBreakBefore w:val="0"/>
        <w:rPr>
          <w:rtl/>
        </w:rPr>
      </w:pPr>
      <w:r w:rsidRPr="001A0660">
        <w:rPr>
          <w:rtl/>
        </w:rPr>
        <w:t>תזכיר חוק מטעם משרד</w:t>
      </w:r>
      <w:r w:rsidR="00D36340" w:rsidRPr="001A0660">
        <w:rPr>
          <w:rFonts w:hint="cs"/>
          <w:rtl/>
        </w:rPr>
        <w:t xml:space="preserve"> האוצר</w:t>
      </w:r>
      <w:r w:rsidRPr="001A0660">
        <w:rPr>
          <w:rtl/>
        </w:rPr>
        <w:t xml:space="preserve">: </w:t>
      </w:r>
    </w:p>
    <w:p w14:paraId="6E6E0A19" w14:textId="77777777" w:rsidR="001F51EF" w:rsidRPr="001A0660" w:rsidRDefault="001F51EF" w:rsidP="00D36340">
      <w:pPr>
        <w:pStyle w:val="HeadHatzaotHok"/>
        <w:keepNext w:val="0"/>
        <w:keepLines w:val="0"/>
        <w:rPr>
          <w:rtl/>
        </w:rPr>
      </w:pPr>
      <w:bookmarkStart w:id="8" w:name="_Toc503130994"/>
      <w:bookmarkStart w:id="9" w:name="_Toc179145739"/>
      <w:bookmarkStart w:id="10" w:name="_Toc179145769"/>
      <w:r w:rsidRPr="001A0660">
        <w:rPr>
          <w:rtl/>
        </w:rPr>
        <w:t>תזכיר חוק</w:t>
      </w:r>
      <w:r w:rsidR="00D36340" w:rsidRPr="001A0660">
        <w:rPr>
          <w:rFonts w:hint="cs"/>
          <w:rtl/>
        </w:rPr>
        <w:t xml:space="preserve"> לתיקון </w:t>
      </w:r>
      <w:r w:rsidR="005E5F28" w:rsidRPr="001A0660">
        <w:rPr>
          <w:rFonts w:hint="cs"/>
          <w:rtl/>
        </w:rPr>
        <w:t>פקודת מס הכנסה (מס' ...)</w:t>
      </w:r>
      <w:bookmarkEnd w:id="8"/>
      <w:r w:rsidRPr="001A0660">
        <w:rPr>
          <w:rtl/>
        </w:rPr>
        <w:t xml:space="preserve">, </w:t>
      </w:r>
      <w:r w:rsidR="00D36340" w:rsidRPr="001A0660">
        <w:rPr>
          <w:rFonts w:hint="cs"/>
          <w:rtl/>
        </w:rPr>
        <w:t>התשפ"ה-2024</w:t>
      </w:r>
      <w:bookmarkEnd w:id="9"/>
      <w:bookmarkEnd w:id="10"/>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624"/>
        <w:gridCol w:w="624"/>
        <w:gridCol w:w="624"/>
        <w:gridCol w:w="624"/>
        <w:gridCol w:w="3402"/>
      </w:tblGrid>
      <w:tr w:rsidR="001F51EF" w:rsidRPr="001A0660" w14:paraId="40A4E130" w14:textId="77777777" w:rsidTr="00D8327C">
        <w:trPr>
          <w:cantSplit/>
          <w:trHeight w:val="60"/>
        </w:trPr>
        <w:tc>
          <w:tcPr>
            <w:tcW w:w="1871" w:type="dxa"/>
          </w:tcPr>
          <w:p w14:paraId="0E865108" w14:textId="77777777" w:rsidR="001F51EF" w:rsidRPr="001A0660" w:rsidRDefault="001F51EF">
            <w:pPr>
              <w:pStyle w:val="TableSideHeading"/>
              <w:rPr>
                <w:rtl/>
              </w:rPr>
            </w:pPr>
          </w:p>
        </w:tc>
        <w:tc>
          <w:tcPr>
            <w:tcW w:w="624" w:type="dxa"/>
          </w:tcPr>
          <w:p w14:paraId="51DF46CB" w14:textId="77777777" w:rsidR="001F51EF" w:rsidRPr="001A0660" w:rsidRDefault="001F51EF">
            <w:pPr>
              <w:pStyle w:val="TableText"/>
            </w:pPr>
          </w:p>
        </w:tc>
        <w:tc>
          <w:tcPr>
            <w:tcW w:w="7146" w:type="dxa"/>
            <w:gridSpan w:val="7"/>
          </w:tcPr>
          <w:p w14:paraId="7DABBDFF" w14:textId="77777777" w:rsidR="001F51EF" w:rsidRPr="001A0660" w:rsidRDefault="008F2BC2">
            <w:pPr>
              <w:pStyle w:val="TableHead"/>
            </w:pPr>
            <w:bookmarkStart w:id="11" w:name="_Toc179145740"/>
            <w:bookmarkStart w:id="12" w:name="_Toc179145770"/>
            <w:r w:rsidRPr="001A0660">
              <w:rPr>
                <w:rFonts w:hint="cs"/>
                <w:rtl/>
              </w:rPr>
              <w:t>פרק</w:t>
            </w:r>
            <w:r w:rsidR="001F51EF" w:rsidRPr="001A0660">
              <w:rPr>
                <w:rFonts w:hint="cs"/>
                <w:rtl/>
              </w:rPr>
              <w:t xml:space="preserve"> </w:t>
            </w:r>
            <w:r w:rsidR="00D36340" w:rsidRPr="001A0660">
              <w:rPr>
                <w:rFonts w:hint="cs"/>
                <w:rtl/>
              </w:rPr>
              <w:t>א':</w:t>
            </w:r>
            <w:r w:rsidR="001F51EF" w:rsidRPr="001A0660">
              <w:rPr>
                <w:rFonts w:hint="cs"/>
                <w:rtl/>
              </w:rPr>
              <w:t xml:space="preserve"> רווחים לא מחולקים</w:t>
            </w:r>
            <w:bookmarkEnd w:id="11"/>
            <w:bookmarkEnd w:id="12"/>
          </w:p>
        </w:tc>
      </w:tr>
      <w:tr w:rsidR="001F51EF" w:rsidRPr="001A0660" w14:paraId="45FA0312" w14:textId="77777777" w:rsidTr="00D8327C">
        <w:trPr>
          <w:cantSplit/>
          <w:trHeight w:val="60"/>
        </w:trPr>
        <w:tc>
          <w:tcPr>
            <w:tcW w:w="1871" w:type="dxa"/>
          </w:tcPr>
          <w:p w14:paraId="105FCA87" w14:textId="77777777" w:rsidR="001F51EF" w:rsidRPr="001A0660" w:rsidRDefault="008F2BC2">
            <w:pPr>
              <w:pStyle w:val="TableSideHeading"/>
            </w:pPr>
            <w:bookmarkStart w:id="13" w:name="_Toc179145741"/>
            <w:bookmarkStart w:id="14" w:name="_Toc179145771"/>
            <w:r w:rsidRPr="001A0660">
              <w:rPr>
                <w:rFonts w:hint="cs"/>
                <w:rtl/>
              </w:rPr>
              <w:t>פקודת מס הכנסה</w:t>
            </w:r>
            <w:bookmarkEnd w:id="13"/>
            <w:bookmarkEnd w:id="14"/>
          </w:p>
        </w:tc>
        <w:tc>
          <w:tcPr>
            <w:tcW w:w="624" w:type="dxa"/>
          </w:tcPr>
          <w:p w14:paraId="45E95996" w14:textId="77777777" w:rsidR="001F51EF" w:rsidRPr="001A0660" w:rsidRDefault="001F51EF" w:rsidP="001F51EF">
            <w:pPr>
              <w:pStyle w:val="TableText"/>
              <w:numPr>
                <w:ilvl w:val="0"/>
                <w:numId w:val="2"/>
              </w:numPr>
            </w:pPr>
          </w:p>
        </w:tc>
        <w:tc>
          <w:tcPr>
            <w:tcW w:w="7146" w:type="dxa"/>
            <w:gridSpan w:val="7"/>
          </w:tcPr>
          <w:p w14:paraId="241EA058" w14:textId="77777777" w:rsidR="001F51EF" w:rsidRPr="001A0660" w:rsidRDefault="001F51EF">
            <w:pPr>
              <w:pStyle w:val="TableBlock"/>
            </w:pPr>
            <w:r w:rsidRPr="001A0660">
              <w:rPr>
                <w:rFonts w:hint="cs"/>
                <w:rtl/>
              </w:rPr>
              <w:t xml:space="preserve">בפקודת </w:t>
            </w:r>
            <w:r w:rsidR="008F2BC2" w:rsidRPr="001A0660">
              <w:rPr>
                <w:rFonts w:hint="cs"/>
                <w:rtl/>
              </w:rPr>
              <w:t>מס הכנסה</w:t>
            </w:r>
            <w:r w:rsidR="008F2BC2" w:rsidRPr="001A0660">
              <w:rPr>
                <w:rStyle w:val="FootnoteReference"/>
                <w:rtl/>
              </w:rPr>
              <w:footnoteReference w:id="1"/>
            </w:r>
            <w:r w:rsidR="008F2BC2" w:rsidRPr="001A0660">
              <w:rPr>
                <w:rFonts w:hint="cs"/>
                <w:rtl/>
              </w:rPr>
              <w:t xml:space="preserve"> (בפרק זה </w:t>
            </w:r>
            <w:r w:rsidR="008F2BC2" w:rsidRPr="001A0660">
              <w:rPr>
                <w:rtl/>
              </w:rPr>
              <w:t>–</w:t>
            </w:r>
            <w:r w:rsidR="008F2BC2" w:rsidRPr="001A0660">
              <w:rPr>
                <w:rFonts w:hint="cs"/>
                <w:rtl/>
              </w:rPr>
              <w:t xml:space="preserve"> הפקודה) -</w:t>
            </w:r>
          </w:p>
        </w:tc>
      </w:tr>
      <w:tr w:rsidR="008F2BC2" w:rsidRPr="001A0660" w14:paraId="1FD59D66" w14:textId="77777777" w:rsidTr="00D8327C">
        <w:trPr>
          <w:cantSplit/>
          <w:trHeight w:val="60"/>
        </w:trPr>
        <w:tc>
          <w:tcPr>
            <w:tcW w:w="1871" w:type="dxa"/>
          </w:tcPr>
          <w:p w14:paraId="23549EBC" w14:textId="77777777" w:rsidR="008F2BC2" w:rsidRPr="001A0660" w:rsidRDefault="008F2BC2">
            <w:pPr>
              <w:pStyle w:val="TableSideHeading"/>
            </w:pPr>
          </w:p>
        </w:tc>
        <w:tc>
          <w:tcPr>
            <w:tcW w:w="624" w:type="dxa"/>
          </w:tcPr>
          <w:p w14:paraId="005A59EF" w14:textId="77777777" w:rsidR="008F2BC2" w:rsidRPr="001A0660" w:rsidRDefault="008F2BC2">
            <w:pPr>
              <w:pStyle w:val="TableText"/>
            </w:pPr>
          </w:p>
        </w:tc>
        <w:tc>
          <w:tcPr>
            <w:tcW w:w="624" w:type="dxa"/>
          </w:tcPr>
          <w:p w14:paraId="2538CBD1" w14:textId="77777777" w:rsidR="008F2BC2" w:rsidRPr="001A0660" w:rsidRDefault="008F2BC2">
            <w:pPr>
              <w:pStyle w:val="TableText"/>
            </w:pPr>
          </w:p>
        </w:tc>
        <w:tc>
          <w:tcPr>
            <w:tcW w:w="6522" w:type="dxa"/>
            <w:gridSpan w:val="6"/>
          </w:tcPr>
          <w:p w14:paraId="0EEFC7EE" w14:textId="77777777" w:rsidR="008F2BC2" w:rsidRPr="001A0660" w:rsidRDefault="008F2BC2" w:rsidP="008F2BC2">
            <w:pPr>
              <w:pStyle w:val="TableBlock"/>
              <w:numPr>
                <w:ilvl w:val="0"/>
                <w:numId w:val="21"/>
              </w:numPr>
              <w:tabs>
                <w:tab w:val="left" w:pos="624"/>
              </w:tabs>
            </w:pPr>
            <w:r w:rsidRPr="001A0660">
              <w:rPr>
                <w:rFonts w:hint="cs"/>
                <w:rtl/>
              </w:rPr>
              <w:t>בסעיף 62א</w:t>
            </w:r>
            <w:r w:rsidR="00493F3F" w:rsidRPr="001A0660">
              <w:rPr>
                <w:rFonts w:hint="cs"/>
                <w:rtl/>
              </w:rPr>
              <w:t xml:space="preserve"> - </w:t>
            </w:r>
          </w:p>
        </w:tc>
      </w:tr>
      <w:tr w:rsidR="00493F3F" w:rsidRPr="001A0660" w14:paraId="37B4C3AE" w14:textId="77777777" w:rsidTr="00D8327C">
        <w:trPr>
          <w:cantSplit/>
          <w:trHeight w:val="60"/>
        </w:trPr>
        <w:tc>
          <w:tcPr>
            <w:tcW w:w="1871" w:type="dxa"/>
          </w:tcPr>
          <w:p w14:paraId="610424C6" w14:textId="77777777" w:rsidR="00493F3F" w:rsidRPr="001A0660" w:rsidRDefault="00493F3F">
            <w:pPr>
              <w:pStyle w:val="TableSideHeading"/>
            </w:pPr>
          </w:p>
        </w:tc>
        <w:tc>
          <w:tcPr>
            <w:tcW w:w="624" w:type="dxa"/>
          </w:tcPr>
          <w:p w14:paraId="7703AE25" w14:textId="77777777" w:rsidR="00493F3F" w:rsidRPr="001A0660" w:rsidRDefault="00493F3F">
            <w:pPr>
              <w:pStyle w:val="TableText"/>
            </w:pPr>
          </w:p>
        </w:tc>
        <w:tc>
          <w:tcPr>
            <w:tcW w:w="624" w:type="dxa"/>
          </w:tcPr>
          <w:p w14:paraId="633CC90F" w14:textId="77777777" w:rsidR="00493F3F" w:rsidRPr="001A0660" w:rsidRDefault="00493F3F">
            <w:pPr>
              <w:pStyle w:val="TableText"/>
            </w:pPr>
          </w:p>
        </w:tc>
        <w:tc>
          <w:tcPr>
            <w:tcW w:w="624" w:type="dxa"/>
          </w:tcPr>
          <w:p w14:paraId="2DFA3BF6" w14:textId="77777777" w:rsidR="00493F3F" w:rsidRPr="001A0660" w:rsidRDefault="00493F3F">
            <w:pPr>
              <w:pStyle w:val="TableText"/>
            </w:pPr>
          </w:p>
        </w:tc>
        <w:tc>
          <w:tcPr>
            <w:tcW w:w="5898" w:type="dxa"/>
            <w:gridSpan w:val="5"/>
          </w:tcPr>
          <w:p w14:paraId="73DB1B57" w14:textId="77777777" w:rsidR="00493F3F" w:rsidRPr="001A0660" w:rsidRDefault="00493F3F" w:rsidP="00493F3F">
            <w:pPr>
              <w:pStyle w:val="TableBlock"/>
              <w:numPr>
                <w:ilvl w:val="0"/>
                <w:numId w:val="22"/>
              </w:numPr>
              <w:tabs>
                <w:tab w:val="left" w:pos="624"/>
              </w:tabs>
            </w:pPr>
            <w:r w:rsidRPr="001A0660">
              <w:rPr>
                <w:rFonts w:hint="cs"/>
                <w:rtl/>
              </w:rPr>
              <w:t>בסעיף קטן (א)</w:t>
            </w:r>
            <w:r w:rsidR="00D8327C" w:rsidRPr="001A0660">
              <w:rPr>
                <w:rFonts w:hint="cs"/>
                <w:rtl/>
              </w:rPr>
              <w:t xml:space="preserve"> - </w:t>
            </w:r>
            <w:r w:rsidRPr="001A0660">
              <w:rPr>
                <w:rFonts w:hint="cs"/>
                <w:rtl/>
              </w:rPr>
              <w:t xml:space="preserve"> </w:t>
            </w:r>
          </w:p>
        </w:tc>
      </w:tr>
      <w:tr w:rsidR="00D8327C" w:rsidRPr="001A0660" w14:paraId="18502B3F" w14:textId="77777777" w:rsidTr="00D8327C">
        <w:trPr>
          <w:cantSplit/>
          <w:trHeight w:val="60"/>
        </w:trPr>
        <w:tc>
          <w:tcPr>
            <w:tcW w:w="1871" w:type="dxa"/>
          </w:tcPr>
          <w:p w14:paraId="2CC3B36B" w14:textId="77777777" w:rsidR="00D8327C" w:rsidRPr="001A0660" w:rsidRDefault="00D8327C">
            <w:pPr>
              <w:pStyle w:val="TableSideHeading"/>
            </w:pPr>
          </w:p>
        </w:tc>
        <w:tc>
          <w:tcPr>
            <w:tcW w:w="624" w:type="dxa"/>
          </w:tcPr>
          <w:p w14:paraId="6AC6D51A" w14:textId="77777777" w:rsidR="00D8327C" w:rsidRPr="001A0660" w:rsidRDefault="00D8327C">
            <w:pPr>
              <w:pStyle w:val="TableText"/>
            </w:pPr>
          </w:p>
        </w:tc>
        <w:tc>
          <w:tcPr>
            <w:tcW w:w="624" w:type="dxa"/>
          </w:tcPr>
          <w:p w14:paraId="68EA405A" w14:textId="77777777" w:rsidR="00D8327C" w:rsidRPr="001A0660" w:rsidRDefault="00D8327C">
            <w:pPr>
              <w:pStyle w:val="TableText"/>
            </w:pPr>
          </w:p>
        </w:tc>
        <w:tc>
          <w:tcPr>
            <w:tcW w:w="624" w:type="dxa"/>
          </w:tcPr>
          <w:p w14:paraId="7DB3AAE9" w14:textId="77777777" w:rsidR="00D8327C" w:rsidRPr="001A0660" w:rsidRDefault="00D8327C">
            <w:pPr>
              <w:pStyle w:val="TableText"/>
            </w:pPr>
          </w:p>
        </w:tc>
        <w:tc>
          <w:tcPr>
            <w:tcW w:w="624" w:type="dxa"/>
          </w:tcPr>
          <w:p w14:paraId="70B0B443" w14:textId="77777777" w:rsidR="00D8327C" w:rsidRPr="001A0660" w:rsidRDefault="00D8327C">
            <w:pPr>
              <w:pStyle w:val="TableText"/>
            </w:pPr>
          </w:p>
        </w:tc>
        <w:tc>
          <w:tcPr>
            <w:tcW w:w="5274" w:type="dxa"/>
            <w:gridSpan w:val="4"/>
          </w:tcPr>
          <w:p w14:paraId="460065DA" w14:textId="77777777" w:rsidR="00D8327C" w:rsidRPr="001A0660" w:rsidRDefault="00D8327C" w:rsidP="00D8327C">
            <w:pPr>
              <w:pStyle w:val="TableBlock"/>
              <w:numPr>
                <w:ilvl w:val="0"/>
                <w:numId w:val="24"/>
              </w:numPr>
              <w:tabs>
                <w:tab w:val="left" w:pos="624"/>
              </w:tabs>
            </w:pPr>
            <w:r w:rsidRPr="001A0660">
              <w:rPr>
                <w:rFonts w:hint="cs"/>
                <w:rtl/>
              </w:rPr>
              <w:t>ברישא המילים "כהגדרתו בסעיף 88" - י</w:t>
            </w:r>
            <w:r w:rsidR="00D817B1" w:rsidRPr="001A0660">
              <w:rPr>
                <w:rFonts w:hint="cs"/>
                <w:rtl/>
              </w:rPr>
              <w:t>י</w:t>
            </w:r>
            <w:r w:rsidRPr="001A0660">
              <w:rPr>
                <w:rFonts w:hint="cs"/>
                <w:rtl/>
              </w:rPr>
              <w:t>מחקו;</w:t>
            </w:r>
          </w:p>
        </w:tc>
      </w:tr>
      <w:tr w:rsidR="00D8327C" w:rsidRPr="001A0660" w14:paraId="55E01E37" w14:textId="77777777" w:rsidTr="00D8327C">
        <w:trPr>
          <w:cantSplit/>
          <w:trHeight w:val="60"/>
        </w:trPr>
        <w:tc>
          <w:tcPr>
            <w:tcW w:w="1871" w:type="dxa"/>
          </w:tcPr>
          <w:p w14:paraId="5697DB90" w14:textId="77777777" w:rsidR="00D8327C" w:rsidRPr="001A0660" w:rsidRDefault="00D8327C">
            <w:pPr>
              <w:pStyle w:val="TableSideHeading"/>
            </w:pPr>
          </w:p>
        </w:tc>
        <w:tc>
          <w:tcPr>
            <w:tcW w:w="624" w:type="dxa"/>
          </w:tcPr>
          <w:p w14:paraId="1ACF0EB0" w14:textId="77777777" w:rsidR="00D8327C" w:rsidRPr="001A0660" w:rsidRDefault="00D8327C" w:rsidP="00D8327C">
            <w:pPr>
              <w:pStyle w:val="TableText"/>
            </w:pPr>
          </w:p>
        </w:tc>
        <w:tc>
          <w:tcPr>
            <w:tcW w:w="624" w:type="dxa"/>
          </w:tcPr>
          <w:p w14:paraId="14733495" w14:textId="77777777" w:rsidR="00D8327C" w:rsidRPr="001A0660" w:rsidRDefault="00D8327C">
            <w:pPr>
              <w:pStyle w:val="TableText"/>
            </w:pPr>
          </w:p>
        </w:tc>
        <w:tc>
          <w:tcPr>
            <w:tcW w:w="624" w:type="dxa"/>
          </w:tcPr>
          <w:p w14:paraId="22B4E5EA" w14:textId="77777777" w:rsidR="00D8327C" w:rsidRPr="001A0660" w:rsidRDefault="00D8327C">
            <w:pPr>
              <w:pStyle w:val="TableText"/>
            </w:pPr>
          </w:p>
        </w:tc>
        <w:tc>
          <w:tcPr>
            <w:tcW w:w="624" w:type="dxa"/>
          </w:tcPr>
          <w:p w14:paraId="10E4F4D0" w14:textId="77777777" w:rsidR="00D8327C" w:rsidRPr="001A0660" w:rsidRDefault="00D8327C">
            <w:pPr>
              <w:pStyle w:val="TableText"/>
            </w:pPr>
          </w:p>
        </w:tc>
        <w:tc>
          <w:tcPr>
            <w:tcW w:w="5274" w:type="dxa"/>
            <w:gridSpan w:val="4"/>
          </w:tcPr>
          <w:p w14:paraId="3A9088E2" w14:textId="77777777" w:rsidR="00D8327C" w:rsidRPr="001A0660" w:rsidRDefault="00D8327C" w:rsidP="00D8327C">
            <w:pPr>
              <w:pStyle w:val="TableBlock"/>
              <w:numPr>
                <w:ilvl w:val="0"/>
                <w:numId w:val="24"/>
              </w:numPr>
              <w:tabs>
                <w:tab w:val="left" w:pos="624"/>
              </w:tabs>
              <w:rPr>
                <w:rtl/>
              </w:rPr>
            </w:pPr>
            <w:r w:rsidRPr="001A0660">
              <w:rPr>
                <w:rFonts w:hint="cs"/>
                <w:rtl/>
              </w:rPr>
              <w:t xml:space="preserve">בפסקה (1) </w:t>
            </w:r>
            <w:r w:rsidR="00197F2C" w:rsidRPr="001A0660">
              <w:rPr>
                <w:rFonts w:hint="cs"/>
                <w:rtl/>
              </w:rPr>
              <w:t>במקום "שהוא בעל מניות מהותי" יבוא "שיש לו שליטה"; ובסופה יבוא "</w:t>
            </w:r>
            <w:r w:rsidR="00197F2C" w:rsidRPr="001A0660">
              <w:rPr>
                <w:rtl/>
              </w:rPr>
              <w:t>לעני</w:t>
            </w:r>
            <w:r w:rsidR="00197F2C" w:rsidRPr="001A0660">
              <w:rPr>
                <w:rFonts w:hint="cs"/>
                <w:rtl/>
              </w:rPr>
              <w:t>י</w:t>
            </w:r>
            <w:r w:rsidR="00197F2C" w:rsidRPr="001A0660">
              <w:rPr>
                <w:rtl/>
              </w:rPr>
              <w:t>ן זה, "שליטה" – כהגדרתה בסעיף 85א</w:t>
            </w:r>
            <w:r w:rsidR="00197F2C" w:rsidRPr="001A0660">
              <w:rPr>
                <w:rFonts w:hint="cs"/>
                <w:rtl/>
              </w:rPr>
              <w:t>;".</w:t>
            </w:r>
          </w:p>
        </w:tc>
      </w:tr>
      <w:tr w:rsidR="00D8327C" w:rsidRPr="001A0660" w14:paraId="6245A1F1" w14:textId="77777777">
        <w:trPr>
          <w:cantSplit/>
          <w:trHeight w:val="60"/>
        </w:trPr>
        <w:tc>
          <w:tcPr>
            <w:tcW w:w="1871" w:type="dxa"/>
          </w:tcPr>
          <w:p w14:paraId="11F41533" w14:textId="77777777" w:rsidR="00D8327C" w:rsidRPr="001A0660" w:rsidRDefault="00D8327C">
            <w:pPr>
              <w:pStyle w:val="TableSideHeading"/>
            </w:pPr>
          </w:p>
        </w:tc>
        <w:tc>
          <w:tcPr>
            <w:tcW w:w="624" w:type="dxa"/>
          </w:tcPr>
          <w:p w14:paraId="5BDE0A9C" w14:textId="77777777" w:rsidR="00D8327C" w:rsidRPr="001A0660" w:rsidRDefault="00D8327C">
            <w:pPr>
              <w:pStyle w:val="TableText"/>
            </w:pPr>
          </w:p>
        </w:tc>
        <w:tc>
          <w:tcPr>
            <w:tcW w:w="624" w:type="dxa"/>
          </w:tcPr>
          <w:p w14:paraId="7049EEA4" w14:textId="77777777" w:rsidR="00D8327C" w:rsidRPr="001A0660" w:rsidRDefault="00D8327C">
            <w:pPr>
              <w:pStyle w:val="TableText"/>
            </w:pPr>
          </w:p>
        </w:tc>
        <w:tc>
          <w:tcPr>
            <w:tcW w:w="624" w:type="dxa"/>
          </w:tcPr>
          <w:p w14:paraId="5F54FFF7" w14:textId="77777777" w:rsidR="00D8327C" w:rsidRPr="001A0660" w:rsidRDefault="00D8327C">
            <w:pPr>
              <w:pStyle w:val="TableText"/>
            </w:pPr>
          </w:p>
        </w:tc>
        <w:tc>
          <w:tcPr>
            <w:tcW w:w="624" w:type="dxa"/>
          </w:tcPr>
          <w:p w14:paraId="5AEC8045" w14:textId="77777777" w:rsidR="00D8327C" w:rsidRPr="001A0660" w:rsidRDefault="00D8327C">
            <w:pPr>
              <w:pStyle w:val="TableText"/>
            </w:pPr>
          </w:p>
        </w:tc>
        <w:tc>
          <w:tcPr>
            <w:tcW w:w="5274" w:type="dxa"/>
            <w:gridSpan w:val="4"/>
          </w:tcPr>
          <w:p w14:paraId="3E01B33B" w14:textId="77777777" w:rsidR="00D8327C" w:rsidRPr="001A0660" w:rsidRDefault="00D8327C" w:rsidP="00D8327C">
            <w:pPr>
              <w:pStyle w:val="TableBlock"/>
              <w:numPr>
                <w:ilvl w:val="0"/>
                <w:numId w:val="24"/>
              </w:numPr>
              <w:tabs>
                <w:tab w:val="left" w:pos="624"/>
              </w:tabs>
            </w:pPr>
            <w:r w:rsidRPr="001A0660">
              <w:rPr>
                <w:rFonts w:hint="cs"/>
                <w:rtl/>
              </w:rPr>
              <w:t>בפסקה (2), הסיפא החל במילים "לעניין זה" - תימחק;</w:t>
            </w:r>
          </w:p>
        </w:tc>
      </w:tr>
      <w:tr w:rsidR="00D8327C" w:rsidRPr="001A0660" w14:paraId="6CE4FA35" w14:textId="77777777">
        <w:trPr>
          <w:cantSplit/>
          <w:trHeight w:val="60"/>
        </w:trPr>
        <w:tc>
          <w:tcPr>
            <w:tcW w:w="1871" w:type="dxa"/>
          </w:tcPr>
          <w:p w14:paraId="24628DA5" w14:textId="77777777" w:rsidR="00D8327C" w:rsidRPr="001A0660" w:rsidRDefault="00D8327C">
            <w:pPr>
              <w:pStyle w:val="TableSideHeading"/>
            </w:pPr>
          </w:p>
        </w:tc>
        <w:tc>
          <w:tcPr>
            <w:tcW w:w="624" w:type="dxa"/>
          </w:tcPr>
          <w:p w14:paraId="73E0A66A" w14:textId="77777777" w:rsidR="00D8327C" w:rsidRPr="001A0660" w:rsidRDefault="00D8327C" w:rsidP="00D8327C">
            <w:pPr>
              <w:pStyle w:val="TableText"/>
            </w:pPr>
          </w:p>
        </w:tc>
        <w:tc>
          <w:tcPr>
            <w:tcW w:w="624" w:type="dxa"/>
          </w:tcPr>
          <w:p w14:paraId="0C5D288C" w14:textId="77777777" w:rsidR="00D8327C" w:rsidRPr="001A0660" w:rsidRDefault="00D8327C">
            <w:pPr>
              <w:pStyle w:val="TableText"/>
            </w:pPr>
          </w:p>
        </w:tc>
        <w:tc>
          <w:tcPr>
            <w:tcW w:w="624" w:type="dxa"/>
          </w:tcPr>
          <w:p w14:paraId="6CE93608" w14:textId="77777777" w:rsidR="00D8327C" w:rsidRPr="001A0660" w:rsidRDefault="00D8327C">
            <w:pPr>
              <w:pStyle w:val="TableText"/>
            </w:pPr>
          </w:p>
        </w:tc>
        <w:tc>
          <w:tcPr>
            <w:tcW w:w="624" w:type="dxa"/>
          </w:tcPr>
          <w:p w14:paraId="49CAD36E" w14:textId="77777777" w:rsidR="00D8327C" w:rsidRPr="001A0660" w:rsidRDefault="00D8327C">
            <w:pPr>
              <w:pStyle w:val="TableText"/>
            </w:pPr>
          </w:p>
        </w:tc>
        <w:tc>
          <w:tcPr>
            <w:tcW w:w="5274" w:type="dxa"/>
            <w:gridSpan w:val="4"/>
          </w:tcPr>
          <w:p w14:paraId="051E0CFD" w14:textId="77777777" w:rsidR="00D8327C" w:rsidRPr="001A0660" w:rsidRDefault="00D8327C" w:rsidP="00D8327C">
            <w:pPr>
              <w:pStyle w:val="TableBlock"/>
              <w:numPr>
                <w:ilvl w:val="0"/>
                <w:numId w:val="24"/>
              </w:numPr>
              <w:tabs>
                <w:tab w:val="left" w:pos="624"/>
              </w:tabs>
              <w:rPr>
                <w:rtl/>
              </w:rPr>
            </w:pPr>
            <w:r w:rsidRPr="001A0660">
              <w:rPr>
                <w:rFonts w:hint="cs"/>
                <w:rtl/>
              </w:rPr>
              <w:t>בפסקה (3), הקטע החל במילים "במשך 30 חודשים" ועד המילים "מתן השירות" - יימחק;</w:t>
            </w:r>
          </w:p>
        </w:tc>
      </w:tr>
      <w:tr w:rsidR="00D8327C" w:rsidRPr="001A0660" w14:paraId="0040E097" w14:textId="77777777">
        <w:trPr>
          <w:cantSplit/>
          <w:trHeight w:val="60"/>
        </w:trPr>
        <w:tc>
          <w:tcPr>
            <w:tcW w:w="1871" w:type="dxa"/>
          </w:tcPr>
          <w:p w14:paraId="275FBB37" w14:textId="77777777" w:rsidR="00D8327C" w:rsidRPr="001A0660" w:rsidRDefault="00D8327C">
            <w:pPr>
              <w:pStyle w:val="TableSideHeading"/>
            </w:pPr>
          </w:p>
        </w:tc>
        <w:tc>
          <w:tcPr>
            <w:tcW w:w="624" w:type="dxa"/>
          </w:tcPr>
          <w:p w14:paraId="1E9DFF7B" w14:textId="77777777" w:rsidR="00D8327C" w:rsidRPr="001A0660" w:rsidRDefault="00D8327C" w:rsidP="00D8327C">
            <w:pPr>
              <w:pStyle w:val="TableText"/>
            </w:pPr>
          </w:p>
        </w:tc>
        <w:tc>
          <w:tcPr>
            <w:tcW w:w="624" w:type="dxa"/>
          </w:tcPr>
          <w:p w14:paraId="2E5EC4A3" w14:textId="77777777" w:rsidR="00D8327C" w:rsidRPr="001A0660" w:rsidRDefault="00D8327C">
            <w:pPr>
              <w:pStyle w:val="TableText"/>
            </w:pPr>
          </w:p>
        </w:tc>
        <w:tc>
          <w:tcPr>
            <w:tcW w:w="624" w:type="dxa"/>
          </w:tcPr>
          <w:p w14:paraId="04AA687A" w14:textId="77777777" w:rsidR="00D8327C" w:rsidRPr="001A0660" w:rsidRDefault="00D8327C">
            <w:pPr>
              <w:pStyle w:val="TableText"/>
            </w:pPr>
          </w:p>
        </w:tc>
        <w:tc>
          <w:tcPr>
            <w:tcW w:w="624" w:type="dxa"/>
          </w:tcPr>
          <w:p w14:paraId="1876B9D5" w14:textId="77777777" w:rsidR="00D8327C" w:rsidRPr="001A0660" w:rsidRDefault="00D8327C">
            <w:pPr>
              <w:pStyle w:val="TableText"/>
            </w:pPr>
          </w:p>
        </w:tc>
        <w:tc>
          <w:tcPr>
            <w:tcW w:w="5274" w:type="dxa"/>
            <w:gridSpan w:val="4"/>
          </w:tcPr>
          <w:p w14:paraId="1DC3EBFC" w14:textId="77777777" w:rsidR="00D8327C" w:rsidRPr="001A0660" w:rsidRDefault="00D8327C" w:rsidP="00D8327C">
            <w:pPr>
              <w:pStyle w:val="TableBlock"/>
              <w:numPr>
                <w:ilvl w:val="0"/>
                <w:numId w:val="24"/>
              </w:numPr>
              <w:tabs>
                <w:tab w:val="left" w:pos="624"/>
              </w:tabs>
              <w:rPr>
                <w:rtl/>
              </w:rPr>
            </w:pPr>
            <w:r w:rsidRPr="001A0660">
              <w:rPr>
                <w:rFonts w:hint="cs"/>
                <w:rtl/>
              </w:rPr>
              <w:t xml:space="preserve">פסקה (4) </w:t>
            </w:r>
            <w:r w:rsidRPr="001A0660">
              <w:rPr>
                <w:rtl/>
              </w:rPr>
              <w:t>–</w:t>
            </w:r>
            <w:r w:rsidRPr="001A0660">
              <w:rPr>
                <w:rFonts w:hint="cs"/>
                <w:rtl/>
              </w:rPr>
              <w:t xml:space="preserve"> תימחק;</w:t>
            </w:r>
          </w:p>
        </w:tc>
      </w:tr>
      <w:tr w:rsidR="00147959" w:rsidRPr="001A0660" w14:paraId="0B1E154E" w14:textId="77777777" w:rsidTr="00D8327C">
        <w:trPr>
          <w:cantSplit/>
          <w:trHeight w:val="60"/>
        </w:trPr>
        <w:tc>
          <w:tcPr>
            <w:tcW w:w="1871" w:type="dxa"/>
          </w:tcPr>
          <w:p w14:paraId="53F4C39E" w14:textId="77777777" w:rsidR="00147959" w:rsidRPr="001A0660" w:rsidRDefault="00147959">
            <w:pPr>
              <w:pStyle w:val="TableSideHeading"/>
            </w:pPr>
          </w:p>
        </w:tc>
        <w:tc>
          <w:tcPr>
            <w:tcW w:w="624" w:type="dxa"/>
          </w:tcPr>
          <w:p w14:paraId="7001582B" w14:textId="77777777" w:rsidR="00147959" w:rsidRPr="001A0660" w:rsidRDefault="00147959">
            <w:pPr>
              <w:pStyle w:val="TableText"/>
            </w:pPr>
          </w:p>
        </w:tc>
        <w:tc>
          <w:tcPr>
            <w:tcW w:w="624" w:type="dxa"/>
          </w:tcPr>
          <w:p w14:paraId="7EA054B1" w14:textId="77777777" w:rsidR="00147959" w:rsidRPr="001A0660" w:rsidRDefault="00147959">
            <w:pPr>
              <w:pStyle w:val="TableText"/>
            </w:pPr>
          </w:p>
        </w:tc>
        <w:tc>
          <w:tcPr>
            <w:tcW w:w="624" w:type="dxa"/>
          </w:tcPr>
          <w:p w14:paraId="67DDF9DE" w14:textId="77777777" w:rsidR="00147959" w:rsidRPr="001A0660" w:rsidRDefault="00147959">
            <w:pPr>
              <w:pStyle w:val="TableText"/>
            </w:pPr>
          </w:p>
        </w:tc>
        <w:tc>
          <w:tcPr>
            <w:tcW w:w="5898" w:type="dxa"/>
            <w:gridSpan w:val="5"/>
          </w:tcPr>
          <w:p w14:paraId="49C7A552" w14:textId="77777777" w:rsidR="00147959" w:rsidRPr="001A0660" w:rsidRDefault="004B66B7" w:rsidP="00147959">
            <w:pPr>
              <w:pStyle w:val="TableBlock"/>
              <w:numPr>
                <w:ilvl w:val="0"/>
                <w:numId w:val="22"/>
              </w:numPr>
              <w:tabs>
                <w:tab w:val="left" w:pos="624"/>
              </w:tabs>
            </w:pPr>
            <w:r w:rsidRPr="001A0660">
              <w:rPr>
                <w:rFonts w:hint="cs"/>
                <w:rtl/>
              </w:rPr>
              <w:t>אחרי</w:t>
            </w:r>
            <w:r w:rsidR="00D8327C" w:rsidRPr="001A0660">
              <w:rPr>
                <w:rFonts w:hint="cs"/>
                <w:rtl/>
              </w:rPr>
              <w:t xml:space="preserve"> </w:t>
            </w:r>
            <w:r w:rsidR="00147959" w:rsidRPr="001A0660">
              <w:rPr>
                <w:rFonts w:hint="cs"/>
                <w:rtl/>
              </w:rPr>
              <w:t xml:space="preserve">סעיף קטן (א) </w:t>
            </w:r>
            <w:r w:rsidR="00D8327C" w:rsidRPr="001A0660">
              <w:rPr>
                <w:rFonts w:hint="cs"/>
                <w:rtl/>
              </w:rPr>
              <w:t>יבוא</w:t>
            </w:r>
            <w:r w:rsidR="00CC552C" w:rsidRPr="001A0660">
              <w:rPr>
                <w:rFonts w:hint="cs"/>
                <w:rtl/>
              </w:rPr>
              <w:t xml:space="preserve"> -</w:t>
            </w:r>
            <w:r w:rsidR="00D8327C" w:rsidRPr="001A0660">
              <w:rPr>
                <w:rFonts w:hint="cs"/>
                <w:rtl/>
              </w:rPr>
              <w:t xml:space="preserve"> </w:t>
            </w:r>
          </w:p>
        </w:tc>
      </w:tr>
      <w:tr w:rsidR="00CC552C" w:rsidRPr="001A0660" w14:paraId="48D2A1EC" w14:textId="77777777">
        <w:trPr>
          <w:cantSplit/>
          <w:trHeight w:val="60"/>
        </w:trPr>
        <w:tc>
          <w:tcPr>
            <w:tcW w:w="1871" w:type="dxa"/>
          </w:tcPr>
          <w:p w14:paraId="1C241500" w14:textId="77777777" w:rsidR="00CC552C" w:rsidRPr="001A0660" w:rsidRDefault="00CC552C">
            <w:pPr>
              <w:pStyle w:val="TableSideHeading"/>
            </w:pPr>
          </w:p>
        </w:tc>
        <w:tc>
          <w:tcPr>
            <w:tcW w:w="624" w:type="dxa"/>
          </w:tcPr>
          <w:p w14:paraId="2F46554D" w14:textId="77777777" w:rsidR="00CC552C" w:rsidRPr="001A0660" w:rsidRDefault="00CC552C">
            <w:pPr>
              <w:pStyle w:val="TableText"/>
            </w:pPr>
          </w:p>
        </w:tc>
        <w:tc>
          <w:tcPr>
            <w:tcW w:w="624" w:type="dxa"/>
          </w:tcPr>
          <w:p w14:paraId="38433C92" w14:textId="77777777" w:rsidR="00CC552C" w:rsidRPr="001A0660" w:rsidRDefault="00CC552C">
            <w:pPr>
              <w:pStyle w:val="TableText"/>
            </w:pPr>
          </w:p>
        </w:tc>
        <w:tc>
          <w:tcPr>
            <w:tcW w:w="624" w:type="dxa"/>
          </w:tcPr>
          <w:p w14:paraId="06777F77" w14:textId="77777777" w:rsidR="00CC552C" w:rsidRPr="001A0660" w:rsidRDefault="00CC552C">
            <w:pPr>
              <w:pStyle w:val="TableText"/>
            </w:pPr>
          </w:p>
        </w:tc>
        <w:tc>
          <w:tcPr>
            <w:tcW w:w="624" w:type="dxa"/>
          </w:tcPr>
          <w:p w14:paraId="3161A437" w14:textId="77777777" w:rsidR="00CC552C" w:rsidRPr="001A0660" w:rsidRDefault="00CC552C">
            <w:pPr>
              <w:pStyle w:val="TableText"/>
            </w:pPr>
            <w:r w:rsidRPr="001A0660">
              <w:rPr>
                <w:rFonts w:hint="cs"/>
                <w:rtl/>
              </w:rPr>
              <w:t>"(א1)</w:t>
            </w:r>
          </w:p>
        </w:tc>
        <w:tc>
          <w:tcPr>
            <w:tcW w:w="5274" w:type="dxa"/>
            <w:gridSpan w:val="4"/>
          </w:tcPr>
          <w:p w14:paraId="09E59D5D" w14:textId="77777777" w:rsidR="00CC552C" w:rsidRPr="001A0660" w:rsidRDefault="00CC552C" w:rsidP="00CC552C">
            <w:pPr>
              <w:pStyle w:val="TableBlock"/>
              <w:numPr>
                <w:ilvl w:val="0"/>
                <w:numId w:val="26"/>
              </w:numPr>
              <w:tabs>
                <w:tab w:val="clear" w:pos="684"/>
                <w:tab w:val="clear" w:pos="1247"/>
              </w:tabs>
              <w:ind w:left="0"/>
            </w:pPr>
            <w:r w:rsidRPr="001A0660">
              <w:rPr>
                <w:rtl/>
              </w:rPr>
              <w:t xml:space="preserve">הכנסה חייבת מפעילות עתירת יגיעה אישית של חברת מעטים </w:t>
            </w:r>
            <w:r w:rsidR="000D42BA" w:rsidRPr="001A0660">
              <w:rPr>
                <w:rFonts w:hint="cs"/>
                <w:rtl/>
              </w:rPr>
              <w:t>בהפחתת</w:t>
            </w:r>
            <w:r w:rsidRPr="001A0660">
              <w:rPr>
                <w:rtl/>
              </w:rPr>
              <w:t xml:space="preserve"> סכום השווה להכנסה מפעילות עתירת יגיעה אישית שהיא</w:t>
            </w:r>
            <w:r w:rsidRPr="001A0660">
              <w:rPr>
                <w:rFonts w:hint="cs"/>
                <w:rtl/>
              </w:rPr>
              <w:t xml:space="preserve"> </w:t>
            </w:r>
            <w:r w:rsidRPr="001A0660">
              <w:rPr>
                <w:rtl/>
              </w:rPr>
              <w:t xml:space="preserve">מוכפלת במקדם, תחשב כהכנסתו החייבת מיגיעה אישית של בעל מניות </w:t>
            </w:r>
            <w:r w:rsidR="005B22B8" w:rsidRPr="001A0660">
              <w:rPr>
                <w:rFonts w:hint="cs"/>
                <w:rtl/>
              </w:rPr>
              <w:t>פעיל</w:t>
            </w:r>
            <w:r w:rsidR="005B22B8" w:rsidRPr="001A0660">
              <w:rPr>
                <w:rtl/>
              </w:rPr>
              <w:t xml:space="preserve"> </w:t>
            </w:r>
            <w:r w:rsidRPr="001A0660">
              <w:rPr>
                <w:rtl/>
              </w:rPr>
              <w:t>בה, לפי סעיף 2(1), (2) או (10), לפי העניין, בהתאם לחלקו היחסי של בעל המניות האמור בזכויות לרווחי חברת המעטים, אם התקיימו כל אלה:</w:t>
            </w:r>
          </w:p>
        </w:tc>
      </w:tr>
      <w:tr w:rsidR="00CC552C" w:rsidRPr="001A0660" w14:paraId="675A7132" w14:textId="77777777">
        <w:trPr>
          <w:cantSplit/>
          <w:trHeight w:val="60"/>
        </w:trPr>
        <w:tc>
          <w:tcPr>
            <w:tcW w:w="1871" w:type="dxa"/>
          </w:tcPr>
          <w:p w14:paraId="539AA9DC" w14:textId="77777777" w:rsidR="00CC552C" w:rsidRPr="001A0660" w:rsidRDefault="00CC552C">
            <w:pPr>
              <w:pStyle w:val="TableSideHeading"/>
            </w:pPr>
          </w:p>
        </w:tc>
        <w:tc>
          <w:tcPr>
            <w:tcW w:w="624" w:type="dxa"/>
          </w:tcPr>
          <w:p w14:paraId="6F732F91" w14:textId="77777777" w:rsidR="00CC552C" w:rsidRPr="001A0660" w:rsidRDefault="00CC552C">
            <w:pPr>
              <w:pStyle w:val="TableText"/>
            </w:pPr>
          </w:p>
        </w:tc>
        <w:tc>
          <w:tcPr>
            <w:tcW w:w="624" w:type="dxa"/>
          </w:tcPr>
          <w:p w14:paraId="30F4B4EE" w14:textId="77777777" w:rsidR="00CC552C" w:rsidRPr="001A0660" w:rsidRDefault="00CC552C">
            <w:pPr>
              <w:pStyle w:val="TableText"/>
            </w:pPr>
          </w:p>
        </w:tc>
        <w:tc>
          <w:tcPr>
            <w:tcW w:w="624" w:type="dxa"/>
          </w:tcPr>
          <w:p w14:paraId="36CDCDA0" w14:textId="77777777" w:rsidR="00CC552C" w:rsidRPr="001A0660" w:rsidRDefault="00CC552C">
            <w:pPr>
              <w:pStyle w:val="TableText"/>
            </w:pPr>
          </w:p>
        </w:tc>
        <w:tc>
          <w:tcPr>
            <w:tcW w:w="624" w:type="dxa"/>
          </w:tcPr>
          <w:p w14:paraId="105651B0" w14:textId="77777777" w:rsidR="00CC552C" w:rsidRPr="001A0660" w:rsidRDefault="00CC552C">
            <w:pPr>
              <w:pStyle w:val="TableText"/>
            </w:pPr>
          </w:p>
        </w:tc>
        <w:tc>
          <w:tcPr>
            <w:tcW w:w="624" w:type="dxa"/>
          </w:tcPr>
          <w:p w14:paraId="5A888941" w14:textId="77777777" w:rsidR="00CC552C" w:rsidRPr="001A0660" w:rsidRDefault="00CC552C">
            <w:pPr>
              <w:pStyle w:val="TableText"/>
            </w:pPr>
          </w:p>
        </w:tc>
        <w:tc>
          <w:tcPr>
            <w:tcW w:w="4650" w:type="dxa"/>
            <w:gridSpan w:val="3"/>
          </w:tcPr>
          <w:p w14:paraId="430664EB" w14:textId="77777777" w:rsidR="00CC552C" w:rsidRPr="001A0660" w:rsidRDefault="00CC552C" w:rsidP="001A0660">
            <w:pPr>
              <w:pStyle w:val="TableBlock"/>
              <w:numPr>
                <w:ilvl w:val="0"/>
                <w:numId w:val="27"/>
              </w:numPr>
              <w:tabs>
                <w:tab w:val="left" w:pos="624"/>
              </w:tabs>
            </w:pPr>
            <w:r w:rsidRPr="001A0660">
              <w:rPr>
                <w:rtl/>
              </w:rPr>
              <w:t xml:space="preserve">ההכנסה מפעילות עתירת יגיעה אישית של </w:t>
            </w:r>
            <w:r w:rsidR="00166C74" w:rsidRPr="001A0660">
              <w:rPr>
                <w:rFonts w:hint="cs"/>
                <w:rtl/>
              </w:rPr>
              <w:t>חברת המעטים</w:t>
            </w:r>
            <w:r w:rsidRPr="001A0660">
              <w:rPr>
                <w:rtl/>
              </w:rPr>
              <w:t xml:space="preserve"> נמוכה מ-30 מיליון שקלים חדשים בשנת המס</w:t>
            </w:r>
            <w:r w:rsidRPr="001A0660">
              <w:rPr>
                <w:rFonts w:hint="cs"/>
                <w:rtl/>
              </w:rPr>
              <w:t>;</w:t>
            </w:r>
          </w:p>
        </w:tc>
      </w:tr>
      <w:tr w:rsidR="00CC552C" w:rsidRPr="001A0660" w14:paraId="2A6BEB3E" w14:textId="77777777">
        <w:trPr>
          <w:cantSplit/>
          <w:trHeight w:val="60"/>
        </w:trPr>
        <w:tc>
          <w:tcPr>
            <w:tcW w:w="1871" w:type="dxa"/>
          </w:tcPr>
          <w:p w14:paraId="13B5859A" w14:textId="77777777" w:rsidR="00CC552C" w:rsidRPr="001A0660" w:rsidRDefault="00CC552C">
            <w:pPr>
              <w:pStyle w:val="TableSideHeading"/>
            </w:pPr>
          </w:p>
        </w:tc>
        <w:tc>
          <w:tcPr>
            <w:tcW w:w="624" w:type="dxa"/>
          </w:tcPr>
          <w:p w14:paraId="35D310C8" w14:textId="77777777" w:rsidR="00CC552C" w:rsidRPr="001A0660" w:rsidRDefault="00CC552C" w:rsidP="00CC552C">
            <w:pPr>
              <w:pStyle w:val="TableText"/>
            </w:pPr>
          </w:p>
        </w:tc>
        <w:tc>
          <w:tcPr>
            <w:tcW w:w="624" w:type="dxa"/>
          </w:tcPr>
          <w:p w14:paraId="7D378618" w14:textId="77777777" w:rsidR="00CC552C" w:rsidRPr="001A0660" w:rsidRDefault="00CC552C">
            <w:pPr>
              <w:pStyle w:val="TableText"/>
            </w:pPr>
          </w:p>
        </w:tc>
        <w:tc>
          <w:tcPr>
            <w:tcW w:w="624" w:type="dxa"/>
          </w:tcPr>
          <w:p w14:paraId="562044D2" w14:textId="77777777" w:rsidR="00CC552C" w:rsidRPr="001A0660" w:rsidRDefault="00CC552C">
            <w:pPr>
              <w:pStyle w:val="TableText"/>
            </w:pPr>
          </w:p>
        </w:tc>
        <w:tc>
          <w:tcPr>
            <w:tcW w:w="624" w:type="dxa"/>
          </w:tcPr>
          <w:p w14:paraId="2EFD211B" w14:textId="77777777" w:rsidR="00CC552C" w:rsidRPr="001A0660" w:rsidRDefault="00CC552C">
            <w:pPr>
              <w:pStyle w:val="TableText"/>
            </w:pPr>
          </w:p>
        </w:tc>
        <w:tc>
          <w:tcPr>
            <w:tcW w:w="624" w:type="dxa"/>
          </w:tcPr>
          <w:p w14:paraId="3FEBC31A" w14:textId="77777777" w:rsidR="00CC552C" w:rsidRPr="001A0660" w:rsidRDefault="00CC552C">
            <w:pPr>
              <w:pStyle w:val="TableText"/>
            </w:pPr>
          </w:p>
        </w:tc>
        <w:tc>
          <w:tcPr>
            <w:tcW w:w="4650" w:type="dxa"/>
            <w:gridSpan w:val="3"/>
          </w:tcPr>
          <w:p w14:paraId="52A8A26C" w14:textId="77777777" w:rsidR="00CC552C" w:rsidRPr="001A0660" w:rsidRDefault="00CC552C" w:rsidP="00CC552C">
            <w:pPr>
              <w:pStyle w:val="TableBlock"/>
              <w:numPr>
                <w:ilvl w:val="0"/>
                <w:numId w:val="27"/>
              </w:numPr>
              <w:tabs>
                <w:tab w:val="left" w:pos="624"/>
              </w:tabs>
              <w:rPr>
                <w:rtl/>
              </w:rPr>
            </w:pPr>
            <w:r w:rsidRPr="001A0660">
              <w:rPr>
                <w:rtl/>
              </w:rPr>
              <w:t>ההכנסה של חברת המעטים הופקה, כולה או חלקה, מיגיעתו האישית של בעל מניות</w:t>
            </w:r>
            <w:r w:rsidR="009A0CEA" w:rsidRPr="001A0660">
              <w:rPr>
                <w:rFonts w:hint="cs"/>
                <w:rtl/>
              </w:rPr>
              <w:t xml:space="preserve"> מהותי בה</w:t>
            </w:r>
            <w:r w:rsidRPr="001A0660">
              <w:rPr>
                <w:rFonts w:hint="cs"/>
                <w:rtl/>
              </w:rPr>
              <w:t>;</w:t>
            </w:r>
          </w:p>
        </w:tc>
      </w:tr>
      <w:tr w:rsidR="00CC552C" w:rsidRPr="001A0660" w14:paraId="41A57369" w14:textId="77777777">
        <w:trPr>
          <w:cantSplit/>
          <w:trHeight w:val="60"/>
        </w:trPr>
        <w:tc>
          <w:tcPr>
            <w:tcW w:w="1871" w:type="dxa"/>
          </w:tcPr>
          <w:p w14:paraId="092C737B" w14:textId="77777777" w:rsidR="00CC552C" w:rsidRPr="001A0660" w:rsidRDefault="00CC552C">
            <w:pPr>
              <w:pStyle w:val="TableSideHeading"/>
            </w:pPr>
          </w:p>
        </w:tc>
        <w:tc>
          <w:tcPr>
            <w:tcW w:w="624" w:type="dxa"/>
          </w:tcPr>
          <w:p w14:paraId="0956F3E1" w14:textId="77777777" w:rsidR="00CC552C" w:rsidRPr="001A0660" w:rsidRDefault="00CC552C" w:rsidP="00CC552C">
            <w:pPr>
              <w:pStyle w:val="TableText"/>
            </w:pPr>
          </w:p>
        </w:tc>
        <w:tc>
          <w:tcPr>
            <w:tcW w:w="624" w:type="dxa"/>
          </w:tcPr>
          <w:p w14:paraId="67D6A912" w14:textId="77777777" w:rsidR="00CC552C" w:rsidRPr="001A0660" w:rsidRDefault="00CC552C">
            <w:pPr>
              <w:pStyle w:val="TableText"/>
            </w:pPr>
          </w:p>
        </w:tc>
        <w:tc>
          <w:tcPr>
            <w:tcW w:w="624" w:type="dxa"/>
          </w:tcPr>
          <w:p w14:paraId="3121096E" w14:textId="77777777" w:rsidR="00CC552C" w:rsidRPr="001A0660" w:rsidRDefault="00CC552C">
            <w:pPr>
              <w:pStyle w:val="TableText"/>
            </w:pPr>
          </w:p>
        </w:tc>
        <w:tc>
          <w:tcPr>
            <w:tcW w:w="624" w:type="dxa"/>
          </w:tcPr>
          <w:p w14:paraId="5B739E65" w14:textId="77777777" w:rsidR="00CC552C" w:rsidRPr="001A0660" w:rsidRDefault="00CC552C">
            <w:pPr>
              <w:pStyle w:val="TableText"/>
            </w:pPr>
          </w:p>
        </w:tc>
        <w:tc>
          <w:tcPr>
            <w:tcW w:w="624" w:type="dxa"/>
          </w:tcPr>
          <w:p w14:paraId="7D9075EF" w14:textId="77777777" w:rsidR="00CC552C" w:rsidRPr="001A0660" w:rsidRDefault="00CC552C">
            <w:pPr>
              <w:pStyle w:val="TableText"/>
            </w:pPr>
          </w:p>
        </w:tc>
        <w:tc>
          <w:tcPr>
            <w:tcW w:w="4650" w:type="dxa"/>
            <w:gridSpan w:val="3"/>
          </w:tcPr>
          <w:p w14:paraId="2A094B96" w14:textId="77777777" w:rsidR="00CC552C" w:rsidRPr="001A0660" w:rsidRDefault="00CC552C" w:rsidP="00CC552C">
            <w:pPr>
              <w:pStyle w:val="TableBlock"/>
              <w:numPr>
                <w:ilvl w:val="0"/>
                <w:numId w:val="27"/>
              </w:numPr>
              <w:tabs>
                <w:tab w:val="left" w:pos="624"/>
              </w:tabs>
              <w:rPr>
                <w:rtl/>
              </w:rPr>
            </w:pPr>
            <w:r w:rsidRPr="001A0660">
              <w:rPr>
                <w:rtl/>
              </w:rPr>
              <w:t>בשנת המס, שיעור הרווחיות של חברת המעטים עלה על 25%</w:t>
            </w:r>
            <w:r w:rsidRPr="001A0660">
              <w:rPr>
                <w:rFonts w:hint="cs"/>
                <w:rtl/>
              </w:rPr>
              <w:t>.</w:t>
            </w:r>
          </w:p>
        </w:tc>
      </w:tr>
      <w:tr w:rsidR="002F24DD" w:rsidRPr="001A0660" w14:paraId="28EAEB8A" w14:textId="77777777">
        <w:trPr>
          <w:cantSplit/>
          <w:trHeight w:val="60"/>
        </w:trPr>
        <w:tc>
          <w:tcPr>
            <w:tcW w:w="1871" w:type="dxa"/>
          </w:tcPr>
          <w:p w14:paraId="03496CA6" w14:textId="77777777" w:rsidR="002F24DD" w:rsidRPr="001A0660" w:rsidRDefault="002F24DD">
            <w:pPr>
              <w:pStyle w:val="TableSideHeading"/>
            </w:pPr>
          </w:p>
        </w:tc>
        <w:tc>
          <w:tcPr>
            <w:tcW w:w="624" w:type="dxa"/>
          </w:tcPr>
          <w:p w14:paraId="32D9C631" w14:textId="77777777" w:rsidR="002F24DD" w:rsidRPr="001A0660" w:rsidRDefault="002F24DD" w:rsidP="002F24DD">
            <w:pPr>
              <w:pStyle w:val="TableText"/>
            </w:pPr>
          </w:p>
        </w:tc>
        <w:tc>
          <w:tcPr>
            <w:tcW w:w="624" w:type="dxa"/>
          </w:tcPr>
          <w:p w14:paraId="67950DE2" w14:textId="77777777" w:rsidR="002F24DD" w:rsidRPr="001A0660" w:rsidRDefault="002F24DD">
            <w:pPr>
              <w:pStyle w:val="TableText"/>
            </w:pPr>
          </w:p>
        </w:tc>
        <w:tc>
          <w:tcPr>
            <w:tcW w:w="624" w:type="dxa"/>
          </w:tcPr>
          <w:p w14:paraId="5C427DE7" w14:textId="77777777" w:rsidR="002F24DD" w:rsidRPr="001A0660" w:rsidRDefault="002F24DD">
            <w:pPr>
              <w:pStyle w:val="TableText"/>
            </w:pPr>
          </w:p>
        </w:tc>
        <w:tc>
          <w:tcPr>
            <w:tcW w:w="624" w:type="dxa"/>
          </w:tcPr>
          <w:p w14:paraId="7DE4E8D9" w14:textId="77777777" w:rsidR="002F24DD" w:rsidRPr="001A0660" w:rsidRDefault="002F24DD">
            <w:pPr>
              <w:pStyle w:val="TableText"/>
            </w:pPr>
          </w:p>
        </w:tc>
        <w:tc>
          <w:tcPr>
            <w:tcW w:w="5274" w:type="dxa"/>
            <w:gridSpan w:val="4"/>
          </w:tcPr>
          <w:p w14:paraId="51C5B62E" w14:textId="77777777" w:rsidR="002F24DD" w:rsidRPr="001A0660" w:rsidRDefault="002F24DD" w:rsidP="002F24DD">
            <w:pPr>
              <w:pStyle w:val="TableBlock"/>
              <w:numPr>
                <w:ilvl w:val="0"/>
                <w:numId w:val="26"/>
              </w:numPr>
              <w:tabs>
                <w:tab w:val="clear" w:pos="684"/>
                <w:tab w:val="clear" w:pos="1247"/>
              </w:tabs>
              <w:ind w:left="0"/>
              <w:rPr>
                <w:rtl/>
              </w:rPr>
            </w:pPr>
            <w:r w:rsidRPr="001A0660">
              <w:rPr>
                <w:rtl/>
              </w:rPr>
              <w:t xml:space="preserve">על אף האמור בפסקה (1), נחשב חלק מההכנסה מפעילות עתירת יגיעה אישית החייבת של חברת המעטים כהכנסתו החייבת של בעל המניות לפי סעיף קטן (א), יופחת החלק האמור </w:t>
            </w:r>
            <w:r w:rsidRPr="001A0660">
              <w:rPr>
                <w:rFonts w:hint="cs"/>
                <w:rtl/>
              </w:rPr>
              <w:t>מה</w:t>
            </w:r>
            <w:r w:rsidRPr="001A0660">
              <w:rPr>
                <w:rtl/>
              </w:rPr>
              <w:t xml:space="preserve">הכנסה החייבת שמיוחסת לו לפי סעיף קטן </w:t>
            </w:r>
            <w:r w:rsidRPr="001A0660">
              <w:rPr>
                <w:rFonts w:hint="cs"/>
                <w:rtl/>
              </w:rPr>
              <w:t>זה."</w:t>
            </w:r>
            <w:r w:rsidR="000E39CE">
              <w:rPr>
                <w:rFonts w:hint="cs"/>
                <w:rtl/>
              </w:rPr>
              <w:t>;</w:t>
            </w:r>
          </w:p>
        </w:tc>
      </w:tr>
      <w:tr w:rsidR="00F4614F" w:rsidRPr="001A0660" w14:paraId="176C40E9" w14:textId="77777777">
        <w:trPr>
          <w:cantSplit/>
          <w:trHeight w:val="60"/>
        </w:trPr>
        <w:tc>
          <w:tcPr>
            <w:tcW w:w="1871" w:type="dxa"/>
          </w:tcPr>
          <w:p w14:paraId="575AC507" w14:textId="77777777" w:rsidR="00F4614F" w:rsidRPr="001A0660" w:rsidRDefault="00F4614F">
            <w:pPr>
              <w:pStyle w:val="TableSideHeading"/>
            </w:pPr>
          </w:p>
        </w:tc>
        <w:tc>
          <w:tcPr>
            <w:tcW w:w="624" w:type="dxa"/>
          </w:tcPr>
          <w:p w14:paraId="50458AB6" w14:textId="77777777" w:rsidR="00F4614F" w:rsidRPr="001A0660" w:rsidRDefault="00F4614F">
            <w:pPr>
              <w:pStyle w:val="TableText"/>
            </w:pPr>
          </w:p>
        </w:tc>
        <w:tc>
          <w:tcPr>
            <w:tcW w:w="624" w:type="dxa"/>
          </w:tcPr>
          <w:p w14:paraId="16E75AE9" w14:textId="77777777" w:rsidR="00F4614F" w:rsidRPr="001A0660" w:rsidRDefault="00F4614F">
            <w:pPr>
              <w:pStyle w:val="TableText"/>
            </w:pPr>
          </w:p>
        </w:tc>
        <w:tc>
          <w:tcPr>
            <w:tcW w:w="624" w:type="dxa"/>
          </w:tcPr>
          <w:p w14:paraId="44975A9C" w14:textId="77777777" w:rsidR="00F4614F" w:rsidRPr="001A0660" w:rsidRDefault="00F4614F">
            <w:pPr>
              <w:pStyle w:val="TableText"/>
            </w:pPr>
          </w:p>
        </w:tc>
        <w:tc>
          <w:tcPr>
            <w:tcW w:w="5898" w:type="dxa"/>
            <w:gridSpan w:val="5"/>
          </w:tcPr>
          <w:p w14:paraId="7D7BF4D3" w14:textId="77777777" w:rsidR="00F4614F" w:rsidRPr="001A0660" w:rsidRDefault="004B66B7" w:rsidP="00F4614F">
            <w:pPr>
              <w:pStyle w:val="TableBlock"/>
              <w:numPr>
                <w:ilvl w:val="0"/>
                <w:numId w:val="22"/>
              </w:numPr>
              <w:tabs>
                <w:tab w:val="left" w:pos="624"/>
              </w:tabs>
            </w:pPr>
            <w:r w:rsidRPr="001A0660">
              <w:rPr>
                <w:rFonts w:hint="cs"/>
                <w:rtl/>
              </w:rPr>
              <w:t>אחרי</w:t>
            </w:r>
            <w:r w:rsidR="00F4614F" w:rsidRPr="001A0660">
              <w:rPr>
                <w:rFonts w:hint="cs"/>
                <w:rtl/>
              </w:rPr>
              <w:t xml:space="preserve"> סעיף קטן (ג) יבוא:</w:t>
            </w:r>
          </w:p>
        </w:tc>
      </w:tr>
      <w:tr w:rsidR="00F4614F" w:rsidRPr="001A0660" w14:paraId="0A734E66" w14:textId="77777777">
        <w:trPr>
          <w:cantSplit/>
          <w:trHeight w:val="60"/>
        </w:trPr>
        <w:tc>
          <w:tcPr>
            <w:tcW w:w="1871" w:type="dxa"/>
          </w:tcPr>
          <w:p w14:paraId="2F02E0AB" w14:textId="77777777" w:rsidR="00F4614F" w:rsidRPr="001A0660" w:rsidRDefault="00F4614F">
            <w:pPr>
              <w:pStyle w:val="TableSideHeading"/>
            </w:pPr>
          </w:p>
        </w:tc>
        <w:tc>
          <w:tcPr>
            <w:tcW w:w="624" w:type="dxa"/>
          </w:tcPr>
          <w:p w14:paraId="1C71D88A" w14:textId="77777777" w:rsidR="00F4614F" w:rsidRPr="001A0660" w:rsidRDefault="00F4614F">
            <w:pPr>
              <w:pStyle w:val="TableText"/>
            </w:pPr>
          </w:p>
        </w:tc>
        <w:tc>
          <w:tcPr>
            <w:tcW w:w="624" w:type="dxa"/>
          </w:tcPr>
          <w:p w14:paraId="568CE67F" w14:textId="77777777" w:rsidR="00F4614F" w:rsidRPr="001A0660" w:rsidRDefault="00F4614F">
            <w:pPr>
              <w:pStyle w:val="TableText"/>
            </w:pPr>
          </w:p>
        </w:tc>
        <w:tc>
          <w:tcPr>
            <w:tcW w:w="624" w:type="dxa"/>
          </w:tcPr>
          <w:p w14:paraId="76737119" w14:textId="77777777" w:rsidR="00F4614F" w:rsidRPr="001A0660" w:rsidRDefault="00F4614F">
            <w:pPr>
              <w:pStyle w:val="TableText"/>
            </w:pPr>
          </w:p>
        </w:tc>
        <w:tc>
          <w:tcPr>
            <w:tcW w:w="624" w:type="dxa"/>
          </w:tcPr>
          <w:p w14:paraId="45C6B98D" w14:textId="77777777" w:rsidR="00F4614F" w:rsidRPr="001A0660" w:rsidRDefault="00F4614F">
            <w:pPr>
              <w:pStyle w:val="TableText"/>
            </w:pPr>
            <w:r w:rsidRPr="001A0660">
              <w:rPr>
                <w:rFonts w:hint="cs"/>
                <w:rtl/>
              </w:rPr>
              <w:t>"(ג1)</w:t>
            </w:r>
          </w:p>
        </w:tc>
        <w:tc>
          <w:tcPr>
            <w:tcW w:w="5274" w:type="dxa"/>
            <w:gridSpan w:val="4"/>
          </w:tcPr>
          <w:p w14:paraId="73C93E98" w14:textId="77777777" w:rsidR="00F4614F" w:rsidRPr="001A0660" w:rsidRDefault="00F4614F">
            <w:pPr>
              <w:pStyle w:val="TableBlock"/>
            </w:pPr>
            <w:r w:rsidRPr="001A0660">
              <w:rPr>
                <w:rtl/>
              </w:rPr>
              <w:t>לעניין חישוב ההכנסה החייבת שיחולו לגביה הוראות סעיף זה, יחולו הוראות סעיף 18(ג), בשינויים המחויבים</w:t>
            </w:r>
            <w:r w:rsidRPr="001A0660">
              <w:rPr>
                <w:rFonts w:hint="cs"/>
                <w:rtl/>
              </w:rPr>
              <w:t>;"</w:t>
            </w:r>
            <w:r w:rsidR="000E39CE">
              <w:rPr>
                <w:rFonts w:hint="cs"/>
                <w:rtl/>
              </w:rPr>
              <w:t>;</w:t>
            </w:r>
          </w:p>
        </w:tc>
      </w:tr>
      <w:tr w:rsidR="00F4614F" w:rsidRPr="001A0660" w14:paraId="692719CC" w14:textId="77777777">
        <w:trPr>
          <w:cantSplit/>
          <w:trHeight w:val="60"/>
        </w:trPr>
        <w:tc>
          <w:tcPr>
            <w:tcW w:w="1871" w:type="dxa"/>
          </w:tcPr>
          <w:p w14:paraId="0493583B" w14:textId="77777777" w:rsidR="00F4614F" w:rsidRPr="001A0660" w:rsidRDefault="00F4614F">
            <w:pPr>
              <w:pStyle w:val="TableSideHeading"/>
            </w:pPr>
          </w:p>
        </w:tc>
        <w:tc>
          <w:tcPr>
            <w:tcW w:w="624" w:type="dxa"/>
          </w:tcPr>
          <w:p w14:paraId="23AC7340" w14:textId="77777777" w:rsidR="00F4614F" w:rsidRPr="001A0660" w:rsidRDefault="00F4614F">
            <w:pPr>
              <w:pStyle w:val="TableText"/>
            </w:pPr>
          </w:p>
        </w:tc>
        <w:tc>
          <w:tcPr>
            <w:tcW w:w="624" w:type="dxa"/>
          </w:tcPr>
          <w:p w14:paraId="29CE3159" w14:textId="77777777" w:rsidR="00F4614F" w:rsidRPr="001A0660" w:rsidRDefault="00F4614F">
            <w:pPr>
              <w:pStyle w:val="TableText"/>
            </w:pPr>
          </w:p>
        </w:tc>
        <w:tc>
          <w:tcPr>
            <w:tcW w:w="624" w:type="dxa"/>
          </w:tcPr>
          <w:p w14:paraId="6647E7AA" w14:textId="77777777" w:rsidR="00F4614F" w:rsidRPr="001A0660" w:rsidRDefault="00F4614F">
            <w:pPr>
              <w:pStyle w:val="TableText"/>
            </w:pPr>
          </w:p>
        </w:tc>
        <w:tc>
          <w:tcPr>
            <w:tcW w:w="5898" w:type="dxa"/>
            <w:gridSpan w:val="5"/>
          </w:tcPr>
          <w:p w14:paraId="6F8F57C5" w14:textId="77777777" w:rsidR="00F4614F" w:rsidRPr="001A0660" w:rsidRDefault="00F4614F" w:rsidP="00F4614F">
            <w:pPr>
              <w:pStyle w:val="TableBlock"/>
              <w:numPr>
                <w:ilvl w:val="0"/>
                <w:numId w:val="22"/>
              </w:numPr>
              <w:tabs>
                <w:tab w:val="left" w:pos="624"/>
              </w:tabs>
            </w:pPr>
            <w:r w:rsidRPr="001A0660">
              <w:rPr>
                <w:rFonts w:hint="cs"/>
                <w:rtl/>
              </w:rPr>
              <w:t xml:space="preserve">בסעיף קטן (ד) - </w:t>
            </w:r>
          </w:p>
        </w:tc>
      </w:tr>
      <w:tr w:rsidR="00F4614F" w:rsidRPr="001A0660" w14:paraId="2E3A572D" w14:textId="77777777">
        <w:trPr>
          <w:cantSplit/>
          <w:trHeight w:val="60"/>
        </w:trPr>
        <w:tc>
          <w:tcPr>
            <w:tcW w:w="1871" w:type="dxa"/>
          </w:tcPr>
          <w:p w14:paraId="1C15A36B" w14:textId="77777777" w:rsidR="00F4614F" w:rsidRPr="001A0660" w:rsidRDefault="00F4614F">
            <w:pPr>
              <w:pStyle w:val="TableSideHeading"/>
            </w:pPr>
          </w:p>
        </w:tc>
        <w:tc>
          <w:tcPr>
            <w:tcW w:w="624" w:type="dxa"/>
          </w:tcPr>
          <w:p w14:paraId="052B0077" w14:textId="77777777" w:rsidR="00F4614F" w:rsidRPr="001A0660" w:rsidRDefault="00F4614F">
            <w:pPr>
              <w:pStyle w:val="TableText"/>
            </w:pPr>
          </w:p>
        </w:tc>
        <w:tc>
          <w:tcPr>
            <w:tcW w:w="624" w:type="dxa"/>
          </w:tcPr>
          <w:p w14:paraId="5DBD785F" w14:textId="77777777" w:rsidR="00F4614F" w:rsidRPr="001A0660" w:rsidRDefault="00F4614F">
            <w:pPr>
              <w:pStyle w:val="TableText"/>
            </w:pPr>
          </w:p>
        </w:tc>
        <w:tc>
          <w:tcPr>
            <w:tcW w:w="624" w:type="dxa"/>
          </w:tcPr>
          <w:p w14:paraId="48BFB59E" w14:textId="77777777" w:rsidR="00F4614F" w:rsidRPr="001A0660" w:rsidRDefault="00F4614F">
            <w:pPr>
              <w:pStyle w:val="TableText"/>
            </w:pPr>
          </w:p>
        </w:tc>
        <w:tc>
          <w:tcPr>
            <w:tcW w:w="624" w:type="dxa"/>
          </w:tcPr>
          <w:p w14:paraId="7DA757D2" w14:textId="77777777" w:rsidR="00F4614F" w:rsidRPr="001A0660" w:rsidRDefault="00F4614F">
            <w:pPr>
              <w:pStyle w:val="TableText"/>
            </w:pPr>
          </w:p>
        </w:tc>
        <w:tc>
          <w:tcPr>
            <w:tcW w:w="5274" w:type="dxa"/>
            <w:gridSpan w:val="4"/>
          </w:tcPr>
          <w:p w14:paraId="17E102EF" w14:textId="77777777" w:rsidR="00F4614F" w:rsidRPr="001A0660" w:rsidRDefault="00F4614F" w:rsidP="00F4614F">
            <w:pPr>
              <w:pStyle w:val="TableBlock"/>
              <w:numPr>
                <w:ilvl w:val="0"/>
                <w:numId w:val="29"/>
              </w:numPr>
              <w:tabs>
                <w:tab w:val="left" w:pos="624"/>
              </w:tabs>
            </w:pPr>
            <w:r w:rsidRPr="001A0660">
              <w:rPr>
                <w:rFonts w:hint="cs"/>
                <w:rtl/>
              </w:rPr>
              <w:t xml:space="preserve">ברישא לפני </w:t>
            </w:r>
            <w:r w:rsidR="000E39CE">
              <w:rPr>
                <w:rFonts w:hint="cs"/>
                <w:rtl/>
              </w:rPr>
              <w:t>ההגדרה</w:t>
            </w:r>
            <w:r w:rsidR="000E39CE" w:rsidRPr="001A0660">
              <w:rPr>
                <w:rFonts w:hint="cs"/>
                <w:rtl/>
              </w:rPr>
              <w:t xml:space="preserve"> </w:t>
            </w:r>
            <w:r w:rsidRPr="001A0660">
              <w:rPr>
                <w:rFonts w:hint="cs"/>
                <w:rtl/>
              </w:rPr>
              <w:t>"נושא משרה" יבוא</w:t>
            </w:r>
            <w:r w:rsidR="009A670C" w:rsidRPr="001A0660">
              <w:rPr>
                <w:rFonts w:hint="cs"/>
                <w:rtl/>
              </w:rPr>
              <w:t>:</w:t>
            </w:r>
          </w:p>
        </w:tc>
      </w:tr>
      <w:tr w:rsidR="009A670C" w:rsidRPr="001A0660" w14:paraId="3CC83FEF" w14:textId="77777777">
        <w:trPr>
          <w:cantSplit/>
          <w:trHeight w:val="60"/>
        </w:trPr>
        <w:tc>
          <w:tcPr>
            <w:tcW w:w="1871" w:type="dxa"/>
          </w:tcPr>
          <w:p w14:paraId="0F2F36B6" w14:textId="77777777" w:rsidR="009A670C" w:rsidRPr="001A0660" w:rsidRDefault="009A670C">
            <w:pPr>
              <w:pStyle w:val="TableSideHeading"/>
            </w:pPr>
          </w:p>
        </w:tc>
        <w:tc>
          <w:tcPr>
            <w:tcW w:w="624" w:type="dxa"/>
          </w:tcPr>
          <w:p w14:paraId="2152A409" w14:textId="77777777" w:rsidR="009A670C" w:rsidRPr="001A0660" w:rsidRDefault="009A670C">
            <w:pPr>
              <w:pStyle w:val="TableText"/>
            </w:pPr>
          </w:p>
        </w:tc>
        <w:tc>
          <w:tcPr>
            <w:tcW w:w="624" w:type="dxa"/>
          </w:tcPr>
          <w:p w14:paraId="7A6B9E6B" w14:textId="77777777" w:rsidR="009A670C" w:rsidRPr="001A0660" w:rsidRDefault="009A670C">
            <w:pPr>
              <w:pStyle w:val="TableText"/>
            </w:pPr>
          </w:p>
        </w:tc>
        <w:tc>
          <w:tcPr>
            <w:tcW w:w="624" w:type="dxa"/>
          </w:tcPr>
          <w:p w14:paraId="0DA97512" w14:textId="77777777" w:rsidR="009A670C" w:rsidRPr="001A0660" w:rsidRDefault="009A670C">
            <w:pPr>
              <w:pStyle w:val="TableText"/>
            </w:pPr>
          </w:p>
        </w:tc>
        <w:tc>
          <w:tcPr>
            <w:tcW w:w="624" w:type="dxa"/>
          </w:tcPr>
          <w:p w14:paraId="38FCF34E" w14:textId="77777777" w:rsidR="009A670C" w:rsidRPr="001A0660" w:rsidRDefault="009A670C">
            <w:pPr>
              <w:pStyle w:val="TableText"/>
            </w:pPr>
          </w:p>
        </w:tc>
        <w:tc>
          <w:tcPr>
            <w:tcW w:w="624" w:type="dxa"/>
          </w:tcPr>
          <w:p w14:paraId="5B0EC0EA" w14:textId="77777777" w:rsidR="009A670C" w:rsidRPr="001A0660" w:rsidRDefault="009A670C">
            <w:pPr>
              <w:pStyle w:val="TableText"/>
            </w:pPr>
          </w:p>
        </w:tc>
        <w:tc>
          <w:tcPr>
            <w:tcW w:w="4650" w:type="dxa"/>
            <w:gridSpan w:val="3"/>
          </w:tcPr>
          <w:p w14:paraId="600BB915" w14:textId="77777777" w:rsidR="009A670C" w:rsidRPr="001A0660" w:rsidRDefault="009A670C" w:rsidP="009A670C">
            <w:pPr>
              <w:pStyle w:val="TableBlockOutdent"/>
              <w:rPr>
                <w:rtl/>
              </w:rPr>
            </w:pPr>
            <w:r w:rsidRPr="001A0660">
              <w:rPr>
                <w:rtl/>
              </w:rPr>
              <w:t>""</w:t>
            </w:r>
            <w:r w:rsidR="00B74A3E" w:rsidRPr="001A0660">
              <w:rPr>
                <w:rtl/>
              </w:rPr>
              <w:t>בעל מניות מהותי" – כהגדרתו בסעיף 88</w:t>
            </w:r>
            <w:r w:rsidR="00B74A3E" w:rsidRPr="001A0660">
              <w:rPr>
                <w:rFonts w:hint="cs"/>
                <w:rtl/>
              </w:rPr>
              <w:t>;</w:t>
            </w:r>
          </w:p>
        </w:tc>
      </w:tr>
      <w:tr w:rsidR="005B22B8" w:rsidRPr="001A0660" w14:paraId="69765AF5" w14:textId="77777777">
        <w:trPr>
          <w:cantSplit/>
          <w:trHeight w:val="60"/>
        </w:trPr>
        <w:tc>
          <w:tcPr>
            <w:tcW w:w="1871" w:type="dxa"/>
          </w:tcPr>
          <w:p w14:paraId="69497D7A" w14:textId="77777777" w:rsidR="005B22B8" w:rsidRPr="001A0660" w:rsidRDefault="005B22B8">
            <w:pPr>
              <w:pStyle w:val="TableSideHeading"/>
            </w:pPr>
          </w:p>
        </w:tc>
        <w:tc>
          <w:tcPr>
            <w:tcW w:w="624" w:type="dxa"/>
          </w:tcPr>
          <w:p w14:paraId="435FA05D" w14:textId="77777777" w:rsidR="005B22B8" w:rsidRPr="001A0660" w:rsidRDefault="005B22B8">
            <w:pPr>
              <w:pStyle w:val="TableText"/>
            </w:pPr>
          </w:p>
        </w:tc>
        <w:tc>
          <w:tcPr>
            <w:tcW w:w="624" w:type="dxa"/>
          </w:tcPr>
          <w:p w14:paraId="4697F0F8" w14:textId="77777777" w:rsidR="005B22B8" w:rsidRPr="001A0660" w:rsidRDefault="005B22B8">
            <w:pPr>
              <w:pStyle w:val="TableText"/>
            </w:pPr>
          </w:p>
        </w:tc>
        <w:tc>
          <w:tcPr>
            <w:tcW w:w="624" w:type="dxa"/>
          </w:tcPr>
          <w:p w14:paraId="4E04241F" w14:textId="77777777" w:rsidR="005B22B8" w:rsidRPr="001A0660" w:rsidRDefault="005B22B8">
            <w:pPr>
              <w:pStyle w:val="TableText"/>
            </w:pPr>
          </w:p>
        </w:tc>
        <w:tc>
          <w:tcPr>
            <w:tcW w:w="624" w:type="dxa"/>
          </w:tcPr>
          <w:p w14:paraId="0FEAA4C9" w14:textId="77777777" w:rsidR="005B22B8" w:rsidRPr="001A0660" w:rsidRDefault="005B22B8">
            <w:pPr>
              <w:pStyle w:val="TableText"/>
            </w:pPr>
          </w:p>
        </w:tc>
        <w:tc>
          <w:tcPr>
            <w:tcW w:w="624" w:type="dxa"/>
          </w:tcPr>
          <w:p w14:paraId="37C07F99" w14:textId="77777777" w:rsidR="005B22B8" w:rsidRPr="001A0660" w:rsidRDefault="005B22B8">
            <w:pPr>
              <w:pStyle w:val="TableText"/>
            </w:pPr>
          </w:p>
        </w:tc>
        <w:tc>
          <w:tcPr>
            <w:tcW w:w="4650" w:type="dxa"/>
            <w:gridSpan w:val="3"/>
          </w:tcPr>
          <w:p w14:paraId="6EEBDC7B" w14:textId="77777777" w:rsidR="005B22B8" w:rsidRPr="001A0660" w:rsidRDefault="005B22B8" w:rsidP="005E5F28">
            <w:pPr>
              <w:pStyle w:val="TableBlockOutdent"/>
              <w:rPr>
                <w:rtl/>
              </w:rPr>
            </w:pPr>
            <w:r w:rsidRPr="001A0660">
              <w:rPr>
                <w:rtl/>
              </w:rPr>
              <w:t>"</w:t>
            </w:r>
            <w:r w:rsidRPr="001A0660">
              <w:rPr>
                <w:rFonts w:hint="eastAsia"/>
                <w:rtl/>
              </w:rPr>
              <w:t>בעל</w:t>
            </w:r>
            <w:r w:rsidRPr="001A0660">
              <w:rPr>
                <w:rtl/>
              </w:rPr>
              <w:t xml:space="preserve"> </w:t>
            </w:r>
            <w:r w:rsidRPr="001A0660">
              <w:rPr>
                <w:rFonts w:hint="eastAsia"/>
                <w:rtl/>
              </w:rPr>
              <w:t>מניות</w:t>
            </w:r>
            <w:r w:rsidRPr="001A0660">
              <w:rPr>
                <w:rtl/>
              </w:rPr>
              <w:t xml:space="preserve"> </w:t>
            </w:r>
            <w:r w:rsidRPr="001A0660">
              <w:rPr>
                <w:rFonts w:hint="eastAsia"/>
                <w:rtl/>
              </w:rPr>
              <w:t>פעיל</w:t>
            </w:r>
            <w:r w:rsidRPr="001A0660">
              <w:rPr>
                <w:rtl/>
              </w:rPr>
              <w:t>"</w:t>
            </w:r>
            <w:r w:rsidRPr="001A0660">
              <w:rPr>
                <w:rFonts w:hint="cs"/>
                <w:rtl/>
              </w:rPr>
              <w:t xml:space="preserve"> </w:t>
            </w:r>
            <w:r w:rsidRPr="001A0660">
              <w:rPr>
                <w:rtl/>
              </w:rPr>
              <w:t>–</w:t>
            </w:r>
            <w:r w:rsidRPr="001A0660">
              <w:rPr>
                <w:rFonts w:hint="cs"/>
                <w:rtl/>
              </w:rPr>
              <w:t xml:space="preserve"> בעל מניות שמחזיק מעל 25% מאמצעי השליטה בחברה או בעל מניות שהכנסת חברת המעטים, כולה או חלקה, הופקה מיגיעתו האישית, לרבות מי שמשתתף בניהול החברה למעט כחבר דירקטוריון בלבד. </w:t>
            </w:r>
          </w:p>
        </w:tc>
      </w:tr>
      <w:tr w:rsidR="00B74A3E" w:rsidRPr="001A0660" w14:paraId="521FCAF6" w14:textId="77777777">
        <w:trPr>
          <w:cantSplit/>
          <w:trHeight w:val="60"/>
        </w:trPr>
        <w:tc>
          <w:tcPr>
            <w:tcW w:w="1871" w:type="dxa"/>
          </w:tcPr>
          <w:p w14:paraId="7C8C6801" w14:textId="77777777" w:rsidR="00B74A3E" w:rsidRPr="001A0660" w:rsidRDefault="00B74A3E">
            <w:pPr>
              <w:pStyle w:val="TableSideHeading"/>
            </w:pPr>
          </w:p>
        </w:tc>
        <w:tc>
          <w:tcPr>
            <w:tcW w:w="624" w:type="dxa"/>
          </w:tcPr>
          <w:p w14:paraId="317EE9FF" w14:textId="77777777" w:rsidR="00B74A3E" w:rsidRPr="001A0660" w:rsidRDefault="00B74A3E">
            <w:pPr>
              <w:pStyle w:val="TableText"/>
            </w:pPr>
          </w:p>
        </w:tc>
        <w:tc>
          <w:tcPr>
            <w:tcW w:w="624" w:type="dxa"/>
          </w:tcPr>
          <w:p w14:paraId="6CE3AA62" w14:textId="77777777" w:rsidR="00B74A3E" w:rsidRPr="001A0660" w:rsidRDefault="00B74A3E">
            <w:pPr>
              <w:pStyle w:val="TableText"/>
            </w:pPr>
          </w:p>
        </w:tc>
        <w:tc>
          <w:tcPr>
            <w:tcW w:w="624" w:type="dxa"/>
          </w:tcPr>
          <w:p w14:paraId="750C6E21" w14:textId="77777777" w:rsidR="00B74A3E" w:rsidRPr="001A0660" w:rsidRDefault="00B74A3E">
            <w:pPr>
              <w:pStyle w:val="TableText"/>
            </w:pPr>
          </w:p>
        </w:tc>
        <w:tc>
          <w:tcPr>
            <w:tcW w:w="624" w:type="dxa"/>
          </w:tcPr>
          <w:p w14:paraId="78E9E3FE" w14:textId="77777777" w:rsidR="00B74A3E" w:rsidRPr="001A0660" w:rsidRDefault="00B74A3E">
            <w:pPr>
              <w:pStyle w:val="TableText"/>
            </w:pPr>
          </w:p>
        </w:tc>
        <w:tc>
          <w:tcPr>
            <w:tcW w:w="624" w:type="dxa"/>
          </w:tcPr>
          <w:p w14:paraId="3FDC78CA" w14:textId="77777777" w:rsidR="00B74A3E" w:rsidRPr="001A0660" w:rsidRDefault="00B74A3E">
            <w:pPr>
              <w:pStyle w:val="TableText"/>
            </w:pPr>
          </w:p>
        </w:tc>
        <w:tc>
          <w:tcPr>
            <w:tcW w:w="4650" w:type="dxa"/>
            <w:gridSpan w:val="3"/>
          </w:tcPr>
          <w:p w14:paraId="0812BE6B" w14:textId="77777777" w:rsidR="00B74A3E" w:rsidRPr="001A0660" w:rsidRDefault="00B74A3E" w:rsidP="00B74A3E">
            <w:pPr>
              <w:pStyle w:val="TableBlockOutdent"/>
              <w:rPr>
                <w:rtl/>
              </w:rPr>
            </w:pPr>
            <w:r w:rsidRPr="001A0660">
              <w:rPr>
                <w:rtl/>
              </w:rPr>
              <w:t>"הכנסה</w:t>
            </w:r>
            <w:r w:rsidR="00166C74" w:rsidRPr="001A0660">
              <w:rPr>
                <w:rFonts w:hint="cs"/>
                <w:rtl/>
              </w:rPr>
              <w:t xml:space="preserve"> חייבת</w:t>
            </w:r>
            <w:r w:rsidRPr="001A0660">
              <w:rPr>
                <w:rtl/>
              </w:rPr>
              <w:t xml:space="preserve"> מפעילות עתירת יגיעה אישית" – חלק ההכנסה החייבת הנובע מהכנסה עתירת יגיעה אישית</w:t>
            </w:r>
            <w:r w:rsidR="00C75AA3" w:rsidRPr="001A0660">
              <w:rPr>
                <w:rFonts w:hint="cs"/>
                <w:rtl/>
              </w:rPr>
              <w:t>, בתוספת סכום דיבידנד שהתקבל שאינו נחשב כהכנסה אחרת</w:t>
            </w:r>
            <w:r w:rsidRPr="001A0660">
              <w:rPr>
                <w:rFonts w:hint="cs"/>
                <w:rtl/>
              </w:rPr>
              <w:t>;</w:t>
            </w:r>
          </w:p>
        </w:tc>
      </w:tr>
      <w:tr w:rsidR="00B74A3E" w:rsidRPr="001A0660" w14:paraId="29AB5126" w14:textId="77777777">
        <w:trPr>
          <w:cantSplit/>
          <w:trHeight w:val="60"/>
        </w:trPr>
        <w:tc>
          <w:tcPr>
            <w:tcW w:w="1871" w:type="dxa"/>
          </w:tcPr>
          <w:p w14:paraId="28BA3322" w14:textId="77777777" w:rsidR="00B74A3E" w:rsidRPr="001A0660" w:rsidRDefault="00B74A3E">
            <w:pPr>
              <w:pStyle w:val="TableSideHeading"/>
            </w:pPr>
          </w:p>
        </w:tc>
        <w:tc>
          <w:tcPr>
            <w:tcW w:w="624" w:type="dxa"/>
          </w:tcPr>
          <w:p w14:paraId="0A486B2F" w14:textId="77777777" w:rsidR="00B74A3E" w:rsidRPr="001A0660" w:rsidRDefault="00B74A3E">
            <w:pPr>
              <w:pStyle w:val="TableText"/>
            </w:pPr>
          </w:p>
        </w:tc>
        <w:tc>
          <w:tcPr>
            <w:tcW w:w="624" w:type="dxa"/>
          </w:tcPr>
          <w:p w14:paraId="174496A9" w14:textId="77777777" w:rsidR="00B74A3E" w:rsidRPr="001A0660" w:rsidRDefault="00B74A3E">
            <w:pPr>
              <w:pStyle w:val="TableText"/>
            </w:pPr>
          </w:p>
        </w:tc>
        <w:tc>
          <w:tcPr>
            <w:tcW w:w="624" w:type="dxa"/>
          </w:tcPr>
          <w:p w14:paraId="3D5487CB" w14:textId="77777777" w:rsidR="00B74A3E" w:rsidRPr="001A0660" w:rsidRDefault="00B74A3E">
            <w:pPr>
              <w:pStyle w:val="TableText"/>
            </w:pPr>
          </w:p>
        </w:tc>
        <w:tc>
          <w:tcPr>
            <w:tcW w:w="624" w:type="dxa"/>
          </w:tcPr>
          <w:p w14:paraId="6EEA4BA3" w14:textId="77777777" w:rsidR="00B74A3E" w:rsidRPr="001A0660" w:rsidRDefault="00B74A3E">
            <w:pPr>
              <w:pStyle w:val="TableText"/>
            </w:pPr>
          </w:p>
        </w:tc>
        <w:tc>
          <w:tcPr>
            <w:tcW w:w="624" w:type="dxa"/>
          </w:tcPr>
          <w:p w14:paraId="2D64A4B3" w14:textId="77777777" w:rsidR="00B74A3E" w:rsidRPr="001A0660" w:rsidRDefault="00B74A3E">
            <w:pPr>
              <w:pStyle w:val="TableText"/>
            </w:pPr>
          </w:p>
        </w:tc>
        <w:tc>
          <w:tcPr>
            <w:tcW w:w="4650" w:type="dxa"/>
            <w:gridSpan w:val="3"/>
          </w:tcPr>
          <w:p w14:paraId="090F43DE" w14:textId="77777777" w:rsidR="00B74A3E" w:rsidRPr="001A0660" w:rsidRDefault="00B74A3E" w:rsidP="00B74A3E">
            <w:pPr>
              <w:pStyle w:val="TableBlockOutdent"/>
              <w:rPr>
                <w:rtl/>
              </w:rPr>
            </w:pPr>
            <w:r w:rsidRPr="001A0660">
              <w:rPr>
                <w:rtl/>
              </w:rPr>
              <w:t>"הכנסה אחרת" -  כל אחת מהכנסות אלה לרבות הכנסה כאמור אשר נחשבת כהכנסה מעסק –</w:t>
            </w:r>
          </w:p>
        </w:tc>
      </w:tr>
      <w:tr w:rsidR="00B74A3E" w:rsidRPr="001A0660" w14:paraId="644D8823" w14:textId="77777777">
        <w:trPr>
          <w:cantSplit/>
          <w:trHeight w:val="60"/>
        </w:trPr>
        <w:tc>
          <w:tcPr>
            <w:tcW w:w="1871" w:type="dxa"/>
          </w:tcPr>
          <w:p w14:paraId="2C54ECCE" w14:textId="77777777" w:rsidR="00B74A3E" w:rsidRPr="001A0660" w:rsidRDefault="00B74A3E">
            <w:pPr>
              <w:pStyle w:val="TableSideHeading"/>
            </w:pPr>
          </w:p>
        </w:tc>
        <w:tc>
          <w:tcPr>
            <w:tcW w:w="624" w:type="dxa"/>
          </w:tcPr>
          <w:p w14:paraId="510D780C" w14:textId="77777777" w:rsidR="00B74A3E" w:rsidRPr="001A0660" w:rsidRDefault="00B74A3E">
            <w:pPr>
              <w:pStyle w:val="TableText"/>
            </w:pPr>
          </w:p>
        </w:tc>
        <w:tc>
          <w:tcPr>
            <w:tcW w:w="624" w:type="dxa"/>
          </w:tcPr>
          <w:p w14:paraId="0CC33CB4" w14:textId="77777777" w:rsidR="00B74A3E" w:rsidRPr="001A0660" w:rsidRDefault="00B74A3E">
            <w:pPr>
              <w:pStyle w:val="TableText"/>
            </w:pPr>
          </w:p>
        </w:tc>
        <w:tc>
          <w:tcPr>
            <w:tcW w:w="624" w:type="dxa"/>
          </w:tcPr>
          <w:p w14:paraId="38FC7EC9" w14:textId="77777777" w:rsidR="00B74A3E" w:rsidRPr="001A0660" w:rsidRDefault="00B74A3E">
            <w:pPr>
              <w:pStyle w:val="TableText"/>
            </w:pPr>
          </w:p>
        </w:tc>
        <w:tc>
          <w:tcPr>
            <w:tcW w:w="624" w:type="dxa"/>
          </w:tcPr>
          <w:p w14:paraId="4998C41A" w14:textId="77777777" w:rsidR="00B74A3E" w:rsidRPr="001A0660" w:rsidRDefault="00B74A3E">
            <w:pPr>
              <w:pStyle w:val="TableText"/>
            </w:pPr>
          </w:p>
        </w:tc>
        <w:tc>
          <w:tcPr>
            <w:tcW w:w="624" w:type="dxa"/>
          </w:tcPr>
          <w:p w14:paraId="04A8068B" w14:textId="77777777" w:rsidR="00B74A3E" w:rsidRPr="001A0660" w:rsidRDefault="00B74A3E">
            <w:pPr>
              <w:pStyle w:val="TableText"/>
            </w:pPr>
          </w:p>
        </w:tc>
        <w:tc>
          <w:tcPr>
            <w:tcW w:w="624" w:type="dxa"/>
          </w:tcPr>
          <w:p w14:paraId="3D0FC7F5" w14:textId="77777777" w:rsidR="00B74A3E" w:rsidRPr="001A0660" w:rsidRDefault="00B74A3E">
            <w:pPr>
              <w:pStyle w:val="TableText"/>
            </w:pPr>
          </w:p>
        </w:tc>
        <w:tc>
          <w:tcPr>
            <w:tcW w:w="4026" w:type="dxa"/>
            <w:gridSpan w:val="2"/>
          </w:tcPr>
          <w:p w14:paraId="2176C418" w14:textId="77777777" w:rsidR="00B74A3E" w:rsidRPr="001A0660" w:rsidRDefault="00B74A3E" w:rsidP="00BC1218">
            <w:pPr>
              <w:pStyle w:val="TableBlock"/>
              <w:numPr>
                <w:ilvl w:val="0"/>
                <w:numId w:val="30"/>
              </w:numPr>
              <w:tabs>
                <w:tab w:val="left" w:pos="624"/>
              </w:tabs>
            </w:pPr>
            <w:r w:rsidRPr="001A0660">
              <w:rPr>
                <w:rtl/>
              </w:rPr>
              <w:t>הכנסה מריבית, הפרשי הצמדה או דמי ניכיון</w:t>
            </w:r>
            <w:r w:rsidRPr="001A0660">
              <w:rPr>
                <w:rFonts w:hint="cs"/>
                <w:rtl/>
              </w:rPr>
              <w:t>;</w:t>
            </w:r>
          </w:p>
        </w:tc>
      </w:tr>
      <w:tr w:rsidR="00B74A3E" w:rsidRPr="001A0660" w14:paraId="3D02B160" w14:textId="77777777">
        <w:trPr>
          <w:cantSplit/>
          <w:trHeight w:val="60"/>
        </w:trPr>
        <w:tc>
          <w:tcPr>
            <w:tcW w:w="1871" w:type="dxa"/>
          </w:tcPr>
          <w:p w14:paraId="0D6C8221" w14:textId="77777777" w:rsidR="00B74A3E" w:rsidRPr="001A0660" w:rsidRDefault="00B74A3E">
            <w:pPr>
              <w:pStyle w:val="TableSideHeading"/>
            </w:pPr>
          </w:p>
        </w:tc>
        <w:tc>
          <w:tcPr>
            <w:tcW w:w="624" w:type="dxa"/>
          </w:tcPr>
          <w:p w14:paraId="16C8F68B" w14:textId="77777777" w:rsidR="00B74A3E" w:rsidRPr="001A0660" w:rsidRDefault="00B74A3E" w:rsidP="00B74A3E">
            <w:pPr>
              <w:pStyle w:val="TableText"/>
            </w:pPr>
          </w:p>
        </w:tc>
        <w:tc>
          <w:tcPr>
            <w:tcW w:w="624" w:type="dxa"/>
          </w:tcPr>
          <w:p w14:paraId="36A70212" w14:textId="77777777" w:rsidR="00B74A3E" w:rsidRPr="001A0660" w:rsidRDefault="00B74A3E">
            <w:pPr>
              <w:pStyle w:val="TableText"/>
            </w:pPr>
          </w:p>
        </w:tc>
        <w:tc>
          <w:tcPr>
            <w:tcW w:w="624" w:type="dxa"/>
          </w:tcPr>
          <w:p w14:paraId="400742A2" w14:textId="77777777" w:rsidR="00B74A3E" w:rsidRPr="001A0660" w:rsidRDefault="00B74A3E">
            <w:pPr>
              <w:pStyle w:val="TableText"/>
            </w:pPr>
          </w:p>
        </w:tc>
        <w:tc>
          <w:tcPr>
            <w:tcW w:w="624" w:type="dxa"/>
          </w:tcPr>
          <w:p w14:paraId="71940F60" w14:textId="77777777" w:rsidR="00B74A3E" w:rsidRPr="001A0660" w:rsidRDefault="00B74A3E">
            <w:pPr>
              <w:pStyle w:val="TableText"/>
            </w:pPr>
          </w:p>
        </w:tc>
        <w:tc>
          <w:tcPr>
            <w:tcW w:w="624" w:type="dxa"/>
          </w:tcPr>
          <w:p w14:paraId="581EBD80" w14:textId="77777777" w:rsidR="00B74A3E" w:rsidRPr="001A0660" w:rsidRDefault="00B74A3E">
            <w:pPr>
              <w:pStyle w:val="TableText"/>
            </w:pPr>
          </w:p>
        </w:tc>
        <w:tc>
          <w:tcPr>
            <w:tcW w:w="624" w:type="dxa"/>
          </w:tcPr>
          <w:p w14:paraId="2E58B96F" w14:textId="77777777" w:rsidR="00B74A3E" w:rsidRPr="001A0660" w:rsidRDefault="00B74A3E">
            <w:pPr>
              <w:pStyle w:val="TableText"/>
            </w:pPr>
          </w:p>
        </w:tc>
        <w:tc>
          <w:tcPr>
            <w:tcW w:w="4026" w:type="dxa"/>
            <w:gridSpan w:val="2"/>
          </w:tcPr>
          <w:p w14:paraId="1CCE9A50" w14:textId="77777777" w:rsidR="00B74A3E" w:rsidRPr="001A0660" w:rsidRDefault="00B74A3E" w:rsidP="00B74A3E">
            <w:pPr>
              <w:pStyle w:val="TableBlock"/>
              <w:numPr>
                <w:ilvl w:val="0"/>
                <w:numId w:val="30"/>
              </w:numPr>
              <w:tabs>
                <w:tab w:val="left" w:pos="624"/>
              </w:tabs>
              <w:rPr>
                <w:rtl/>
              </w:rPr>
            </w:pPr>
            <w:r w:rsidRPr="001A0660">
              <w:rPr>
                <w:rtl/>
              </w:rPr>
              <w:t>הכנסה מדיבידנד, לרבות דיבידנד המשתלם מתוך רווחי הון של חברה</w:t>
            </w:r>
            <w:r w:rsidR="00166C74" w:rsidRPr="001A0660">
              <w:rPr>
                <w:rFonts w:hint="cs"/>
                <w:rtl/>
              </w:rPr>
              <w:t>. לעניין זה לא יובא בחשבון</w:t>
            </w:r>
            <w:r w:rsidRPr="001A0660">
              <w:rPr>
                <w:rtl/>
              </w:rPr>
              <w:t xml:space="preserve"> דיבידנד </w:t>
            </w:r>
            <w:r w:rsidR="00166C74" w:rsidRPr="001A0660">
              <w:rPr>
                <w:rFonts w:hint="cs"/>
                <w:rtl/>
              </w:rPr>
              <w:t>ש</w:t>
            </w:r>
            <w:r w:rsidRPr="001A0660">
              <w:rPr>
                <w:rtl/>
              </w:rPr>
              <w:t>חולק לחברת מעטים שבעל מניות מהותי בה, נותן שירות, במישרין או בעקיפין, לחברה מחלקת הדיבידנד;</w:t>
            </w:r>
          </w:p>
        </w:tc>
      </w:tr>
      <w:tr w:rsidR="00B74A3E" w:rsidRPr="001A0660" w14:paraId="73244E00" w14:textId="77777777">
        <w:trPr>
          <w:cantSplit/>
          <w:trHeight w:val="60"/>
        </w:trPr>
        <w:tc>
          <w:tcPr>
            <w:tcW w:w="1871" w:type="dxa"/>
          </w:tcPr>
          <w:p w14:paraId="2B5B8033" w14:textId="77777777" w:rsidR="00B74A3E" w:rsidRPr="001A0660" w:rsidRDefault="00B74A3E">
            <w:pPr>
              <w:pStyle w:val="TableSideHeading"/>
            </w:pPr>
          </w:p>
        </w:tc>
        <w:tc>
          <w:tcPr>
            <w:tcW w:w="624" w:type="dxa"/>
          </w:tcPr>
          <w:p w14:paraId="7051F393" w14:textId="77777777" w:rsidR="00B74A3E" w:rsidRPr="001A0660" w:rsidRDefault="00B74A3E" w:rsidP="00B74A3E">
            <w:pPr>
              <w:pStyle w:val="TableText"/>
            </w:pPr>
          </w:p>
        </w:tc>
        <w:tc>
          <w:tcPr>
            <w:tcW w:w="624" w:type="dxa"/>
          </w:tcPr>
          <w:p w14:paraId="12FA4072" w14:textId="77777777" w:rsidR="00B74A3E" w:rsidRPr="001A0660" w:rsidRDefault="00B74A3E">
            <w:pPr>
              <w:pStyle w:val="TableText"/>
            </w:pPr>
          </w:p>
        </w:tc>
        <w:tc>
          <w:tcPr>
            <w:tcW w:w="624" w:type="dxa"/>
          </w:tcPr>
          <w:p w14:paraId="25871A93" w14:textId="77777777" w:rsidR="00B74A3E" w:rsidRPr="001A0660" w:rsidRDefault="00B74A3E">
            <w:pPr>
              <w:pStyle w:val="TableText"/>
            </w:pPr>
          </w:p>
        </w:tc>
        <w:tc>
          <w:tcPr>
            <w:tcW w:w="624" w:type="dxa"/>
          </w:tcPr>
          <w:p w14:paraId="4B1345FB" w14:textId="77777777" w:rsidR="00B74A3E" w:rsidRPr="001A0660" w:rsidRDefault="00B74A3E">
            <w:pPr>
              <w:pStyle w:val="TableText"/>
            </w:pPr>
          </w:p>
        </w:tc>
        <w:tc>
          <w:tcPr>
            <w:tcW w:w="624" w:type="dxa"/>
          </w:tcPr>
          <w:p w14:paraId="3D707A16" w14:textId="77777777" w:rsidR="00B74A3E" w:rsidRPr="001A0660" w:rsidRDefault="00B74A3E">
            <w:pPr>
              <w:pStyle w:val="TableText"/>
            </w:pPr>
          </w:p>
        </w:tc>
        <w:tc>
          <w:tcPr>
            <w:tcW w:w="624" w:type="dxa"/>
          </w:tcPr>
          <w:p w14:paraId="1F0877E9" w14:textId="77777777" w:rsidR="00B74A3E" w:rsidRPr="001A0660" w:rsidRDefault="00B74A3E">
            <w:pPr>
              <w:pStyle w:val="TableText"/>
            </w:pPr>
          </w:p>
        </w:tc>
        <w:tc>
          <w:tcPr>
            <w:tcW w:w="4026" w:type="dxa"/>
            <w:gridSpan w:val="2"/>
          </w:tcPr>
          <w:p w14:paraId="22ECD7EC" w14:textId="77777777" w:rsidR="00B74A3E" w:rsidRPr="001A0660" w:rsidRDefault="00B74A3E" w:rsidP="00B74A3E">
            <w:pPr>
              <w:pStyle w:val="TableBlock"/>
              <w:numPr>
                <w:ilvl w:val="0"/>
                <w:numId w:val="30"/>
              </w:numPr>
              <w:tabs>
                <w:tab w:val="left" w:pos="624"/>
              </w:tabs>
              <w:rPr>
                <w:rtl/>
              </w:rPr>
            </w:pPr>
            <w:r w:rsidRPr="001A0660">
              <w:rPr>
                <w:rtl/>
              </w:rPr>
              <w:t>הכנסה מדמי שכירות</w:t>
            </w:r>
            <w:bookmarkStart w:id="15" w:name="_Hlk178281356"/>
            <w:r w:rsidRPr="001A0660">
              <w:rPr>
                <w:rtl/>
              </w:rPr>
              <w:t>;</w:t>
            </w:r>
            <w:bookmarkEnd w:id="15"/>
          </w:p>
        </w:tc>
      </w:tr>
      <w:tr w:rsidR="00B74A3E" w:rsidRPr="001A0660" w14:paraId="73BB82C7" w14:textId="77777777">
        <w:trPr>
          <w:cantSplit/>
          <w:trHeight w:val="60"/>
        </w:trPr>
        <w:tc>
          <w:tcPr>
            <w:tcW w:w="1871" w:type="dxa"/>
          </w:tcPr>
          <w:p w14:paraId="52D14AF6" w14:textId="77777777" w:rsidR="00B74A3E" w:rsidRPr="001A0660" w:rsidRDefault="00B74A3E">
            <w:pPr>
              <w:pStyle w:val="TableSideHeading"/>
            </w:pPr>
          </w:p>
        </w:tc>
        <w:tc>
          <w:tcPr>
            <w:tcW w:w="624" w:type="dxa"/>
          </w:tcPr>
          <w:p w14:paraId="4235AE09" w14:textId="77777777" w:rsidR="00B74A3E" w:rsidRPr="001A0660" w:rsidRDefault="00B74A3E" w:rsidP="00B74A3E">
            <w:pPr>
              <w:pStyle w:val="TableText"/>
            </w:pPr>
          </w:p>
        </w:tc>
        <w:tc>
          <w:tcPr>
            <w:tcW w:w="624" w:type="dxa"/>
          </w:tcPr>
          <w:p w14:paraId="206273FA" w14:textId="77777777" w:rsidR="00B74A3E" w:rsidRPr="001A0660" w:rsidRDefault="00B74A3E">
            <w:pPr>
              <w:pStyle w:val="TableText"/>
            </w:pPr>
          </w:p>
        </w:tc>
        <w:tc>
          <w:tcPr>
            <w:tcW w:w="624" w:type="dxa"/>
          </w:tcPr>
          <w:p w14:paraId="7C07F617" w14:textId="77777777" w:rsidR="00B74A3E" w:rsidRPr="001A0660" w:rsidRDefault="00B74A3E">
            <w:pPr>
              <w:pStyle w:val="TableText"/>
            </w:pPr>
          </w:p>
        </w:tc>
        <w:tc>
          <w:tcPr>
            <w:tcW w:w="624" w:type="dxa"/>
          </w:tcPr>
          <w:p w14:paraId="5878BA01" w14:textId="77777777" w:rsidR="00B74A3E" w:rsidRPr="001A0660" w:rsidRDefault="00B74A3E">
            <w:pPr>
              <w:pStyle w:val="TableText"/>
            </w:pPr>
          </w:p>
        </w:tc>
        <w:tc>
          <w:tcPr>
            <w:tcW w:w="624" w:type="dxa"/>
          </w:tcPr>
          <w:p w14:paraId="2A8496B3" w14:textId="77777777" w:rsidR="00B74A3E" w:rsidRPr="001A0660" w:rsidRDefault="00B74A3E">
            <w:pPr>
              <w:pStyle w:val="TableText"/>
            </w:pPr>
          </w:p>
        </w:tc>
        <w:tc>
          <w:tcPr>
            <w:tcW w:w="624" w:type="dxa"/>
          </w:tcPr>
          <w:p w14:paraId="3B961ECE" w14:textId="77777777" w:rsidR="00B74A3E" w:rsidRPr="001A0660" w:rsidRDefault="00B74A3E">
            <w:pPr>
              <w:pStyle w:val="TableText"/>
            </w:pPr>
          </w:p>
        </w:tc>
        <w:tc>
          <w:tcPr>
            <w:tcW w:w="4026" w:type="dxa"/>
            <w:gridSpan w:val="2"/>
          </w:tcPr>
          <w:p w14:paraId="09288D25" w14:textId="77777777" w:rsidR="00B74A3E" w:rsidRPr="001A0660" w:rsidRDefault="00B74A3E" w:rsidP="00B74A3E">
            <w:pPr>
              <w:pStyle w:val="TableBlock"/>
              <w:numPr>
                <w:ilvl w:val="0"/>
                <w:numId w:val="30"/>
              </w:numPr>
              <w:tabs>
                <w:tab w:val="left" w:pos="624"/>
              </w:tabs>
              <w:rPr>
                <w:rtl/>
              </w:rPr>
            </w:pPr>
            <w:r w:rsidRPr="001A0660">
              <w:rPr>
                <w:rtl/>
              </w:rPr>
              <w:t>תמורה ממכירת נכס, כמשמעותה בסעיף 88;</w:t>
            </w:r>
          </w:p>
        </w:tc>
      </w:tr>
      <w:tr w:rsidR="00B74A3E" w:rsidRPr="001A0660" w14:paraId="7FD7A86E" w14:textId="77777777">
        <w:trPr>
          <w:cantSplit/>
          <w:trHeight w:val="60"/>
        </w:trPr>
        <w:tc>
          <w:tcPr>
            <w:tcW w:w="1871" w:type="dxa"/>
          </w:tcPr>
          <w:p w14:paraId="7B95114A" w14:textId="77777777" w:rsidR="00B74A3E" w:rsidRPr="001A0660" w:rsidRDefault="00B74A3E">
            <w:pPr>
              <w:pStyle w:val="TableSideHeading"/>
            </w:pPr>
          </w:p>
        </w:tc>
        <w:tc>
          <w:tcPr>
            <w:tcW w:w="624" w:type="dxa"/>
          </w:tcPr>
          <w:p w14:paraId="20C52D9C" w14:textId="77777777" w:rsidR="00B74A3E" w:rsidRPr="001A0660" w:rsidRDefault="00B74A3E" w:rsidP="00B74A3E">
            <w:pPr>
              <w:pStyle w:val="TableText"/>
            </w:pPr>
          </w:p>
        </w:tc>
        <w:tc>
          <w:tcPr>
            <w:tcW w:w="624" w:type="dxa"/>
          </w:tcPr>
          <w:p w14:paraId="47737889" w14:textId="77777777" w:rsidR="00B74A3E" w:rsidRPr="001A0660" w:rsidRDefault="00B74A3E">
            <w:pPr>
              <w:pStyle w:val="TableText"/>
            </w:pPr>
          </w:p>
        </w:tc>
        <w:tc>
          <w:tcPr>
            <w:tcW w:w="624" w:type="dxa"/>
          </w:tcPr>
          <w:p w14:paraId="33E408D2" w14:textId="77777777" w:rsidR="00B74A3E" w:rsidRPr="001A0660" w:rsidRDefault="00B74A3E">
            <w:pPr>
              <w:pStyle w:val="TableText"/>
            </w:pPr>
          </w:p>
        </w:tc>
        <w:tc>
          <w:tcPr>
            <w:tcW w:w="624" w:type="dxa"/>
          </w:tcPr>
          <w:p w14:paraId="4E332D17" w14:textId="77777777" w:rsidR="00B74A3E" w:rsidRPr="001A0660" w:rsidRDefault="00B74A3E">
            <w:pPr>
              <w:pStyle w:val="TableText"/>
            </w:pPr>
          </w:p>
        </w:tc>
        <w:tc>
          <w:tcPr>
            <w:tcW w:w="624" w:type="dxa"/>
          </w:tcPr>
          <w:p w14:paraId="1C55AC2A" w14:textId="77777777" w:rsidR="00B74A3E" w:rsidRPr="001A0660" w:rsidRDefault="00B74A3E">
            <w:pPr>
              <w:pStyle w:val="TableText"/>
            </w:pPr>
          </w:p>
        </w:tc>
        <w:tc>
          <w:tcPr>
            <w:tcW w:w="624" w:type="dxa"/>
          </w:tcPr>
          <w:p w14:paraId="1DBA94D0" w14:textId="77777777" w:rsidR="00B74A3E" w:rsidRPr="001A0660" w:rsidRDefault="00B74A3E">
            <w:pPr>
              <w:pStyle w:val="TableText"/>
            </w:pPr>
          </w:p>
        </w:tc>
        <w:tc>
          <w:tcPr>
            <w:tcW w:w="4026" w:type="dxa"/>
            <w:gridSpan w:val="2"/>
          </w:tcPr>
          <w:p w14:paraId="19EBA2F7" w14:textId="77777777" w:rsidR="00B74A3E" w:rsidRPr="001A0660" w:rsidRDefault="00B74A3E" w:rsidP="00B74A3E">
            <w:pPr>
              <w:pStyle w:val="TableBlock"/>
              <w:numPr>
                <w:ilvl w:val="0"/>
                <w:numId w:val="30"/>
              </w:numPr>
              <w:tabs>
                <w:tab w:val="left" w:pos="624"/>
              </w:tabs>
              <w:rPr>
                <w:rtl/>
              </w:rPr>
            </w:pPr>
            <w:r w:rsidRPr="001A0660">
              <w:rPr>
                <w:rtl/>
              </w:rPr>
              <w:t>הכנסה שמקורה במכשירים פיננסיים כמשמעותם בכללי חשבונאות מקובלים</w:t>
            </w:r>
            <w:r w:rsidR="00166C74" w:rsidRPr="001A0660">
              <w:rPr>
                <w:rFonts w:hint="cs"/>
                <w:rtl/>
              </w:rPr>
              <w:t xml:space="preserve">, </w:t>
            </w:r>
            <w:bookmarkStart w:id="16" w:name="_Hlk178150494"/>
            <w:r w:rsidR="00166C74" w:rsidRPr="001A0660">
              <w:rPr>
                <w:rFonts w:hint="cs"/>
                <w:rtl/>
              </w:rPr>
              <w:t>לרבות ממכירת מכשיר כאמור המהווה מלאי עסקי</w:t>
            </w:r>
            <w:bookmarkEnd w:id="16"/>
            <w:r w:rsidRPr="001A0660">
              <w:rPr>
                <w:rFonts w:hint="cs"/>
                <w:rtl/>
              </w:rPr>
              <w:t>;</w:t>
            </w:r>
          </w:p>
        </w:tc>
      </w:tr>
      <w:tr w:rsidR="00B74A3E" w:rsidRPr="001A0660" w14:paraId="76C84EEE" w14:textId="77777777">
        <w:trPr>
          <w:cantSplit/>
          <w:trHeight w:val="60"/>
        </w:trPr>
        <w:tc>
          <w:tcPr>
            <w:tcW w:w="1871" w:type="dxa"/>
          </w:tcPr>
          <w:p w14:paraId="0F6587D7" w14:textId="77777777" w:rsidR="00B74A3E" w:rsidRPr="001A0660" w:rsidRDefault="00B74A3E">
            <w:pPr>
              <w:pStyle w:val="TableSideHeading"/>
            </w:pPr>
          </w:p>
        </w:tc>
        <w:tc>
          <w:tcPr>
            <w:tcW w:w="624" w:type="dxa"/>
          </w:tcPr>
          <w:p w14:paraId="4518EA98" w14:textId="77777777" w:rsidR="00B74A3E" w:rsidRPr="001A0660" w:rsidRDefault="00B74A3E" w:rsidP="00B74A3E">
            <w:pPr>
              <w:pStyle w:val="TableText"/>
            </w:pPr>
          </w:p>
        </w:tc>
        <w:tc>
          <w:tcPr>
            <w:tcW w:w="624" w:type="dxa"/>
          </w:tcPr>
          <w:p w14:paraId="67EC987E" w14:textId="77777777" w:rsidR="00B74A3E" w:rsidRPr="001A0660" w:rsidRDefault="00B74A3E">
            <w:pPr>
              <w:pStyle w:val="TableText"/>
            </w:pPr>
          </w:p>
        </w:tc>
        <w:tc>
          <w:tcPr>
            <w:tcW w:w="624" w:type="dxa"/>
          </w:tcPr>
          <w:p w14:paraId="7AA2FA5A" w14:textId="77777777" w:rsidR="00B74A3E" w:rsidRPr="001A0660" w:rsidRDefault="00B74A3E">
            <w:pPr>
              <w:pStyle w:val="TableText"/>
            </w:pPr>
          </w:p>
        </w:tc>
        <w:tc>
          <w:tcPr>
            <w:tcW w:w="624" w:type="dxa"/>
          </w:tcPr>
          <w:p w14:paraId="596B5411" w14:textId="77777777" w:rsidR="00B74A3E" w:rsidRPr="001A0660" w:rsidRDefault="00B74A3E">
            <w:pPr>
              <w:pStyle w:val="TableText"/>
            </w:pPr>
          </w:p>
        </w:tc>
        <w:tc>
          <w:tcPr>
            <w:tcW w:w="624" w:type="dxa"/>
          </w:tcPr>
          <w:p w14:paraId="0584F64F" w14:textId="77777777" w:rsidR="00B74A3E" w:rsidRPr="001A0660" w:rsidRDefault="00B74A3E">
            <w:pPr>
              <w:pStyle w:val="TableText"/>
            </w:pPr>
          </w:p>
        </w:tc>
        <w:tc>
          <w:tcPr>
            <w:tcW w:w="624" w:type="dxa"/>
          </w:tcPr>
          <w:p w14:paraId="58E9D7EA" w14:textId="77777777" w:rsidR="00B74A3E" w:rsidRPr="001A0660" w:rsidRDefault="00B74A3E">
            <w:pPr>
              <w:pStyle w:val="TableText"/>
            </w:pPr>
          </w:p>
        </w:tc>
        <w:tc>
          <w:tcPr>
            <w:tcW w:w="4026" w:type="dxa"/>
            <w:gridSpan w:val="2"/>
          </w:tcPr>
          <w:p w14:paraId="1E0D1416" w14:textId="77777777" w:rsidR="00B74A3E" w:rsidRPr="001A0660" w:rsidRDefault="00B74A3E" w:rsidP="00B74A3E">
            <w:pPr>
              <w:pStyle w:val="TableBlock"/>
              <w:numPr>
                <w:ilvl w:val="0"/>
                <w:numId w:val="30"/>
              </w:numPr>
              <w:tabs>
                <w:tab w:val="left" w:pos="624"/>
              </w:tabs>
              <w:rPr>
                <w:rtl/>
              </w:rPr>
            </w:pPr>
            <w:r w:rsidRPr="001A0660">
              <w:rPr>
                <w:rtl/>
              </w:rPr>
              <w:t>תמורה ממכירת זכות במקרקעין או זכות באיגוד מקרקעין</w:t>
            </w:r>
            <w:r w:rsidRPr="001A0660">
              <w:rPr>
                <w:rFonts w:hint="cs"/>
                <w:rtl/>
              </w:rPr>
              <w:t>;</w:t>
            </w:r>
          </w:p>
        </w:tc>
      </w:tr>
      <w:tr w:rsidR="00B74A3E" w:rsidRPr="001A0660" w14:paraId="7432E22D" w14:textId="77777777">
        <w:trPr>
          <w:cantSplit/>
          <w:trHeight w:val="60"/>
        </w:trPr>
        <w:tc>
          <w:tcPr>
            <w:tcW w:w="1871" w:type="dxa"/>
          </w:tcPr>
          <w:p w14:paraId="7D88F07A" w14:textId="77777777" w:rsidR="00B74A3E" w:rsidRPr="001A0660" w:rsidRDefault="00B74A3E">
            <w:pPr>
              <w:pStyle w:val="TableSideHeading"/>
            </w:pPr>
          </w:p>
        </w:tc>
        <w:tc>
          <w:tcPr>
            <w:tcW w:w="624" w:type="dxa"/>
          </w:tcPr>
          <w:p w14:paraId="097E6771" w14:textId="77777777" w:rsidR="00B74A3E" w:rsidRPr="001A0660" w:rsidRDefault="00B74A3E" w:rsidP="00B74A3E">
            <w:pPr>
              <w:pStyle w:val="TableText"/>
            </w:pPr>
          </w:p>
        </w:tc>
        <w:tc>
          <w:tcPr>
            <w:tcW w:w="624" w:type="dxa"/>
          </w:tcPr>
          <w:p w14:paraId="51531BE9" w14:textId="77777777" w:rsidR="00B74A3E" w:rsidRPr="001A0660" w:rsidRDefault="00B74A3E">
            <w:pPr>
              <w:pStyle w:val="TableText"/>
            </w:pPr>
          </w:p>
        </w:tc>
        <w:tc>
          <w:tcPr>
            <w:tcW w:w="624" w:type="dxa"/>
          </w:tcPr>
          <w:p w14:paraId="7C62ACE2" w14:textId="77777777" w:rsidR="00B74A3E" w:rsidRPr="001A0660" w:rsidRDefault="00B74A3E">
            <w:pPr>
              <w:pStyle w:val="TableText"/>
            </w:pPr>
          </w:p>
        </w:tc>
        <w:tc>
          <w:tcPr>
            <w:tcW w:w="624" w:type="dxa"/>
          </w:tcPr>
          <w:p w14:paraId="708F41E0" w14:textId="77777777" w:rsidR="00B74A3E" w:rsidRPr="001A0660" w:rsidRDefault="00B74A3E">
            <w:pPr>
              <w:pStyle w:val="TableText"/>
            </w:pPr>
          </w:p>
        </w:tc>
        <w:tc>
          <w:tcPr>
            <w:tcW w:w="624" w:type="dxa"/>
          </w:tcPr>
          <w:p w14:paraId="42DF1E3E" w14:textId="77777777" w:rsidR="00B74A3E" w:rsidRPr="001A0660" w:rsidRDefault="00B74A3E">
            <w:pPr>
              <w:pStyle w:val="TableText"/>
            </w:pPr>
          </w:p>
        </w:tc>
        <w:tc>
          <w:tcPr>
            <w:tcW w:w="624" w:type="dxa"/>
          </w:tcPr>
          <w:p w14:paraId="049811B6" w14:textId="77777777" w:rsidR="00B74A3E" w:rsidRPr="001A0660" w:rsidRDefault="00B74A3E">
            <w:pPr>
              <w:pStyle w:val="TableText"/>
            </w:pPr>
          </w:p>
        </w:tc>
        <w:tc>
          <w:tcPr>
            <w:tcW w:w="4026" w:type="dxa"/>
            <w:gridSpan w:val="2"/>
          </w:tcPr>
          <w:p w14:paraId="58EC16C8" w14:textId="77777777" w:rsidR="00B74A3E" w:rsidRPr="001A0660" w:rsidRDefault="00B74A3E" w:rsidP="00B74A3E">
            <w:pPr>
              <w:pStyle w:val="TableBlock"/>
              <w:numPr>
                <w:ilvl w:val="0"/>
                <w:numId w:val="30"/>
              </w:numPr>
              <w:tabs>
                <w:tab w:val="left" w:pos="624"/>
              </w:tabs>
              <w:rPr>
                <w:rtl/>
              </w:rPr>
            </w:pPr>
            <w:r w:rsidRPr="001A0660">
              <w:rPr>
                <w:rtl/>
              </w:rPr>
              <w:t>הכנסה אחרת מסוג שקבע שר האוצר בצו באישור ועדת הכספים</w:t>
            </w:r>
            <w:r w:rsidRPr="001A0660">
              <w:rPr>
                <w:rFonts w:hint="cs"/>
                <w:rtl/>
              </w:rPr>
              <w:t>;</w:t>
            </w:r>
          </w:p>
        </w:tc>
      </w:tr>
      <w:tr w:rsidR="00B74A3E" w:rsidRPr="001A0660" w14:paraId="2AE244C4" w14:textId="77777777">
        <w:trPr>
          <w:cantSplit/>
          <w:trHeight w:val="60"/>
        </w:trPr>
        <w:tc>
          <w:tcPr>
            <w:tcW w:w="1871" w:type="dxa"/>
          </w:tcPr>
          <w:p w14:paraId="5F1BCB49" w14:textId="77777777" w:rsidR="00B74A3E" w:rsidRPr="001A0660" w:rsidRDefault="00B74A3E">
            <w:pPr>
              <w:pStyle w:val="TableSideHeading"/>
            </w:pPr>
          </w:p>
        </w:tc>
        <w:tc>
          <w:tcPr>
            <w:tcW w:w="624" w:type="dxa"/>
          </w:tcPr>
          <w:p w14:paraId="4852A1EF" w14:textId="77777777" w:rsidR="00B74A3E" w:rsidRPr="001A0660" w:rsidRDefault="00B74A3E">
            <w:pPr>
              <w:pStyle w:val="TableText"/>
            </w:pPr>
          </w:p>
        </w:tc>
        <w:tc>
          <w:tcPr>
            <w:tcW w:w="624" w:type="dxa"/>
          </w:tcPr>
          <w:p w14:paraId="251B35AD" w14:textId="77777777" w:rsidR="00B74A3E" w:rsidRPr="001A0660" w:rsidRDefault="00B74A3E">
            <w:pPr>
              <w:pStyle w:val="TableText"/>
            </w:pPr>
          </w:p>
        </w:tc>
        <w:tc>
          <w:tcPr>
            <w:tcW w:w="624" w:type="dxa"/>
          </w:tcPr>
          <w:p w14:paraId="1FE6FE3F" w14:textId="77777777" w:rsidR="00B74A3E" w:rsidRPr="001A0660" w:rsidRDefault="00B74A3E">
            <w:pPr>
              <w:pStyle w:val="TableText"/>
            </w:pPr>
          </w:p>
        </w:tc>
        <w:tc>
          <w:tcPr>
            <w:tcW w:w="624" w:type="dxa"/>
          </w:tcPr>
          <w:p w14:paraId="7BB48CE7" w14:textId="77777777" w:rsidR="00B74A3E" w:rsidRPr="001A0660" w:rsidRDefault="00B74A3E">
            <w:pPr>
              <w:pStyle w:val="TableText"/>
            </w:pPr>
          </w:p>
        </w:tc>
        <w:tc>
          <w:tcPr>
            <w:tcW w:w="624" w:type="dxa"/>
          </w:tcPr>
          <w:p w14:paraId="588E67D6" w14:textId="77777777" w:rsidR="00B74A3E" w:rsidRPr="001A0660" w:rsidRDefault="00B74A3E">
            <w:pPr>
              <w:pStyle w:val="TableText"/>
            </w:pPr>
          </w:p>
        </w:tc>
        <w:tc>
          <w:tcPr>
            <w:tcW w:w="4650" w:type="dxa"/>
            <w:gridSpan w:val="3"/>
          </w:tcPr>
          <w:p w14:paraId="6A326890" w14:textId="77777777" w:rsidR="00B74A3E" w:rsidRPr="001A0660" w:rsidRDefault="00B74A3E" w:rsidP="005059E9">
            <w:pPr>
              <w:pStyle w:val="TableBlockOutdent"/>
            </w:pPr>
            <w:r w:rsidRPr="001A0660">
              <w:rPr>
                <w:rFonts w:hint="cs"/>
                <w:rtl/>
              </w:rPr>
              <w:t>"</w:t>
            </w:r>
            <w:r w:rsidRPr="001A0660">
              <w:rPr>
                <w:rtl/>
              </w:rPr>
              <w:t>חברת מעטים" – כמשמעותה בסעיף 76 שאינה חברת משלח יד זרה כהגדרתה בסעיף 75ב1 ואינה חברה נשלטת זרה כהגדרתה בסעיף 75ב</w:t>
            </w:r>
            <w:r w:rsidRPr="001A0660">
              <w:rPr>
                <w:rFonts w:hint="cs"/>
                <w:rtl/>
              </w:rPr>
              <w:t>;</w:t>
            </w:r>
          </w:p>
        </w:tc>
      </w:tr>
      <w:tr w:rsidR="00670698" w:rsidRPr="001A0660" w14:paraId="5F51C587" w14:textId="77777777">
        <w:trPr>
          <w:cantSplit/>
          <w:trHeight w:val="60"/>
        </w:trPr>
        <w:tc>
          <w:tcPr>
            <w:tcW w:w="1871" w:type="dxa"/>
          </w:tcPr>
          <w:p w14:paraId="4574CE9F" w14:textId="77777777" w:rsidR="00670698" w:rsidRPr="001A0660" w:rsidRDefault="00670698">
            <w:pPr>
              <w:pStyle w:val="TableSideHeading"/>
            </w:pPr>
          </w:p>
        </w:tc>
        <w:tc>
          <w:tcPr>
            <w:tcW w:w="624" w:type="dxa"/>
          </w:tcPr>
          <w:p w14:paraId="2D27852D" w14:textId="77777777" w:rsidR="00670698" w:rsidRPr="001A0660" w:rsidRDefault="00670698">
            <w:pPr>
              <w:pStyle w:val="TableText"/>
            </w:pPr>
          </w:p>
        </w:tc>
        <w:tc>
          <w:tcPr>
            <w:tcW w:w="624" w:type="dxa"/>
          </w:tcPr>
          <w:p w14:paraId="602CD9E6" w14:textId="77777777" w:rsidR="00670698" w:rsidRPr="001A0660" w:rsidRDefault="00670698">
            <w:pPr>
              <w:pStyle w:val="TableText"/>
            </w:pPr>
          </w:p>
        </w:tc>
        <w:tc>
          <w:tcPr>
            <w:tcW w:w="624" w:type="dxa"/>
          </w:tcPr>
          <w:p w14:paraId="33B0427E" w14:textId="77777777" w:rsidR="00670698" w:rsidRPr="001A0660" w:rsidRDefault="00670698">
            <w:pPr>
              <w:pStyle w:val="TableText"/>
            </w:pPr>
          </w:p>
        </w:tc>
        <w:tc>
          <w:tcPr>
            <w:tcW w:w="624" w:type="dxa"/>
          </w:tcPr>
          <w:p w14:paraId="0BF3B1DF" w14:textId="77777777" w:rsidR="00670698" w:rsidRPr="001A0660" w:rsidRDefault="00670698">
            <w:pPr>
              <w:pStyle w:val="TableText"/>
            </w:pPr>
          </w:p>
        </w:tc>
        <w:tc>
          <w:tcPr>
            <w:tcW w:w="624" w:type="dxa"/>
          </w:tcPr>
          <w:p w14:paraId="1EFB602D" w14:textId="77777777" w:rsidR="00670698" w:rsidRPr="001A0660" w:rsidRDefault="00670698">
            <w:pPr>
              <w:pStyle w:val="TableText"/>
            </w:pPr>
          </w:p>
        </w:tc>
        <w:tc>
          <w:tcPr>
            <w:tcW w:w="4650" w:type="dxa"/>
            <w:gridSpan w:val="3"/>
          </w:tcPr>
          <w:p w14:paraId="2CA55F9D" w14:textId="77777777" w:rsidR="00670698" w:rsidRPr="001A0660" w:rsidRDefault="00670698" w:rsidP="00670698">
            <w:pPr>
              <w:pStyle w:val="TableBlockOutdent"/>
              <w:rPr>
                <w:rtl/>
              </w:rPr>
            </w:pPr>
            <w:r w:rsidRPr="001A0660">
              <w:rPr>
                <w:rtl/>
              </w:rPr>
              <w:t>"</w:t>
            </w:r>
            <w:r w:rsidRPr="001A0660">
              <w:rPr>
                <w:rFonts w:hint="cs"/>
                <w:rtl/>
              </w:rPr>
              <w:t xml:space="preserve">יחסים מיוחדים" </w:t>
            </w:r>
            <w:r w:rsidRPr="001A0660">
              <w:rPr>
                <w:rtl/>
              </w:rPr>
              <w:t>–</w:t>
            </w:r>
            <w:r w:rsidRPr="001A0660">
              <w:rPr>
                <w:rFonts w:hint="cs"/>
                <w:rtl/>
              </w:rPr>
              <w:t xml:space="preserve"> כהגדרתם בסעיף 85א(א</w:t>
            </w:r>
            <w:r w:rsidR="000C0295" w:rsidRPr="001A0660">
              <w:rPr>
                <w:rFonts w:hint="cs"/>
                <w:rtl/>
              </w:rPr>
              <w:t>)</w:t>
            </w:r>
            <w:r w:rsidR="000E39CE">
              <w:rPr>
                <w:rFonts w:hint="cs"/>
                <w:rtl/>
              </w:rPr>
              <w:t>;</w:t>
            </w:r>
          </w:p>
        </w:tc>
      </w:tr>
      <w:tr w:rsidR="005059E9" w:rsidRPr="001A0660" w14:paraId="46B8882E" w14:textId="77777777">
        <w:trPr>
          <w:cantSplit/>
          <w:trHeight w:val="60"/>
        </w:trPr>
        <w:tc>
          <w:tcPr>
            <w:tcW w:w="1871" w:type="dxa"/>
          </w:tcPr>
          <w:p w14:paraId="5F13AE6C" w14:textId="77777777" w:rsidR="005059E9" w:rsidRPr="001A0660" w:rsidRDefault="005059E9">
            <w:pPr>
              <w:pStyle w:val="TableSideHeading"/>
            </w:pPr>
          </w:p>
        </w:tc>
        <w:tc>
          <w:tcPr>
            <w:tcW w:w="624" w:type="dxa"/>
          </w:tcPr>
          <w:p w14:paraId="11175209" w14:textId="77777777" w:rsidR="005059E9" w:rsidRPr="001A0660" w:rsidRDefault="005059E9">
            <w:pPr>
              <w:pStyle w:val="TableText"/>
            </w:pPr>
          </w:p>
        </w:tc>
        <w:tc>
          <w:tcPr>
            <w:tcW w:w="624" w:type="dxa"/>
          </w:tcPr>
          <w:p w14:paraId="46B2CCDB" w14:textId="77777777" w:rsidR="005059E9" w:rsidRPr="001A0660" w:rsidRDefault="005059E9">
            <w:pPr>
              <w:pStyle w:val="TableText"/>
            </w:pPr>
          </w:p>
        </w:tc>
        <w:tc>
          <w:tcPr>
            <w:tcW w:w="624" w:type="dxa"/>
          </w:tcPr>
          <w:p w14:paraId="5469C021" w14:textId="77777777" w:rsidR="005059E9" w:rsidRPr="001A0660" w:rsidRDefault="005059E9">
            <w:pPr>
              <w:pStyle w:val="TableText"/>
            </w:pPr>
          </w:p>
        </w:tc>
        <w:tc>
          <w:tcPr>
            <w:tcW w:w="624" w:type="dxa"/>
          </w:tcPr>
          <w:p w14:paraId="77FC9245" w14:textId="77777777" w:rsidR="005059E9" w:rsidRPr="001A0660" w:rsidRDefault="005059E9">
            <w:pPr>
              <w:pStyle w:val="TableText"/>
            </w:pPr>
          </w:p>
        </w:tc>
        <w:tc>
          <w:tcPr>
            <w:tcW w:w="624" w:type="dxa"/>
          </w:tcPr>
          <w:p w14:paraId="2F844A91" w14:textId="77777777" w:rsidR="005059E9" w:rsidRPr="001A0660" w:rsidRDefault="005059E9">
            <w:pPr>
              <w:pStyle w:val="TableText"/>
            </w:pPr>
          </w:p>
        </w:tc>
        <w:tc>
          <w:tcPr>
            <w:tcW w:w="4650" w:type="dxa"/>
            <w:gridSpan w:val="3"/>
          </w:tcPr>
          <w:p w14:paraId="012D6CEE" w14:textId="77777777" w:rsidR="005059E9" w:rsidRPr="001A0660" w:rsidRDefault="005059E9" w:rsidP="000D42BA">
            <w:pPr>
              <w:pStyle w:val="TableBlockOutdent"/>
            </w:pPr>
            <w:r w:rsidRPr="001A0660">
              <w:rPr>
                <w:rtl/>
              </w:rPr>
              <w:t xml:space="preserve">"מקדם" – </w:t>
            </w:r>
            <w:r w:rsidR="000D42BA" w:rsidRPr="001A0660">
              <w:rPr>
                <w:rFonts w:hint="cs"/>
                <w:rtl/>
              </w:rPr>
              <w:t>133% מוכפל בתוצאה המתקבלת מהפחתת שיעור הרווחיות מ-1</w:t>
            </w:r>
            <w:r w:rsidRPr="001A0660">
              <w:rPr>
                <w:rFonts w:hint="cs"/>
                <w:rtl/>
              </w:rPr>
              <w:t>;</w:t>
            </w:r>
          </w:p>
        </w:tc>
      </w:tr>
      <w:tr w:rsidR="00161797" w:rsidRPr="001A0660" w14:paraId="4E30C401" w14:textId="77777777">
        <w:trPr>
          <w:cantSplit/>
          <w:trHeight w:val="60"/>
        </w:trPr>
        <w:tc>
          <w:tcPr>
            <w:tcW w:w="1871" w:type="dxa"/>
          </w:tcPr>
          <w:p w14:paraId="304D1C83" w14:textId="77777777" w:rsidR="00161797" w:rsidRPr="001A0660" w:rsidRDefault="00161797">
            <w:pPr>
              <w:pStyle w:val="TableSideHeading"/>
            </w:pPr>
          </w:p>
        </w:tc>
        <w:tc>
          <w:tcPr>
            <w:tcW w:w="624" w:type="dxa"/>
          </w:tcPr>
          <w:p w14:paraId="194B9DB1" w14:textId="77777777" w:rsidR="00161797" w:rsidRPr="001A0660" w:rsidRDefault="00161797">
            <w:pPr>
              <w:pStyle w:val="TableText"/>
            </w:pPr>
          </w:p>
        </w:tc>
        <w:tc>
          <w:tcPr>
            <w:tcW w:w="624" w:type="dxa"/>
          </w:tcPr>
          <w:p w14:paraId="04ED4973" w14:textId="77777777" w:rsidR="00161797" w:rsidRPr="001A0660" w:rsidRDefault="00161797">
            <w:pPr>
              <w:pStyle w:val="TableText"/>
            </w:pPr>
          </w:p>
        </w:tc>
        <w:tc>
          <w:tcPr>
            <w:tcW w:w="624" w:type="dxa"/>
          </w:tcPr>
          <w:p w14:paraId="1E277275" w14:textId="77777777" w:rsidR="00161797" w:rsidRPr="001A0660" w:rsidRDefault="00161797">
            <w:pPr>
              <w:pStyle w:val="TableText"/>
            </w:pPr>
          </w:p>
        </w:tc>
        <w:tc>
          <w:tcPr>
            <w:tcW w:w="624" w:type="dxa"/>
          </w:tcPr>
          <w:p w14:paraId="6A5EB663" w14:textId="77777777" w:rsidR="00161797" w:rsidRPr="001A0660" w:rsidRDefault="00161797">
            <w:pPr>
              <w:pStyle w:val="TableText"/>
            </w:pPr>
          </w:p>
        </w:tc>
        <w:tc>
          <w:tcPr>
            <w:tcW w:w="5274" w:type="dxa"/>
            <w:gridSpan w:val="4"/>
          </w:tcPr>
          <w:p w14:paraId="4E87E388" w14:textId="77777777" w:rsidR="00161797" w:rsidRPr="001A0660" w:rsidRDefault="00161797" w:rsidP="00161797">
            <w:pPr>
              <w:pStyle w:val="TableBlock"/>
              <w:numPr>
                <w:ilvl w:val="0"/>
                <w:numId w:val="29"/>
              </w:numPr>
              <w:tabs>
                <w:tab w:val="left" w:pos="624"/>
              </w:tabs>
            </w:pPr>
            <w:r w:rsidRPr="001A0660">
              <w:rPr>
                <w:rFonts w:hint="cs"/>
                <w:rtl/>
              </w:rPr>
              <w:t>בהגדר</w:t>
            </w:r>
            <w:r w:rsidR="000E39CE">
              <w:rPr>
                <w:rFonts w:hint="cs"/>
                <w:rtl/>
              </w:rPr>
              <w:t>ה</w:t>
            </w:r>
            <w:r w:rsidRPr="001A0660">
              <w:rPr>
                <w:rFonts w:hint="cs"/>
                <w:rtl/>
              </w:rPr>
              <w:t xml:space="preserve"> "נושא משרה" בסיפא של פסקה (3)</w:t>
            </w:r>
            <w:r w:rsidR="000E39CE">
              <w:rPr>
                <w:rFonts w:hint="cs"/>
                <w:rtl/>
              </w:rPr>
              <w:t>,</w:t>
            </w:r>
            <w:r w:rsidRPr="001A0660">
              <w:rPr>
                <w:rFonts w:hint="cs"/>
                <w:rtl/>
              </w:rPr>
              <w:t xml:space="preserve"> הקטע המתחיל במילים "ובלבד שלא" </w:t>
            </w:r>
            <w:r w:rsidRPr="001A0660">
              <w:rPr>
                <w:rtl/>
              </w:rPr>
              <w:t>–</w:t>
            </w:r>
            <w:r w:rsidRPr="001A0660">
              <w:rPr>
                <w:rFonts w:hint="cs"/>
                <w:rtl/>
              </w:rPr>
              <w:t xml:space="preserve"> ימחק;</w:t>
            </w:r>
          </w:p>
        </w:tc>
      </w:tr>
      <w:tr w:rsidR="00161797" w:rsidRPr="001A0660" w14:paraId="023FB231" w14:textId="77777777">
        <w:trPr>
          <w:cantSplit/>
          <w:trHeight w:val="60"/>
        </w:trPr>
        <w:tc>
          <w:tcPr>
            <w:tcW w:w="1871" w:type="dxa"/>
          </w:tcPr>
          <w:p w14:paraId="3FDC2DE9" w14:textId="77777777" w:rsidR="00161797" w:rsidRPr="001A0660" w:rsidRDefault="00161797">
            <w:pPr>
              <w:pStyle w:val="TableSideHeading"/>
            </w:pPr>
          </w:p>
        </w:tc>
        <w:tc>
          <w:tcPr>
            <w:tcW w:w="624" w:type="dxa"/>
          </w:tcPr>
          <w:p w14:paraId="7CDA0B6C" w14:textId="77777777" w:rsidR="00161797" w:rsidRPr="001A0660" w:rsidRDefault="00161797" w:rsidP="00161797">
            <w:pPr>
              <w:pStyle w:val="TableText"/>
            </w:pPr>
          </w:p>
        </w:tc>
        <w:tc>
          <w:tcPr>
            <w:tcW w:w="624" w:type="dxa"/>
          </w:tcPr>
          <w:p w14:paraId="53F52EE3" w14:textId="77777777" w:rsidR="00161797" w:rsidRPr="001A0660" w:rsidRDefault="00161797">
            <w:pPr>
              <w:pStyle w:val="TableText"/>
            </w:pPr>
          </w:p>
        </w:tc>
        <w:tc>
          <w:tcPr>
            <w:tcW w:w="624" w:type="dxa"/>
          </w:tcPr>
          <w:p w14:paraId="00148FAA" w14:textId="77777777" w:rsidR="00161797" w:rsidRPr="001A0660" w:rsidRDefault="00161797">
            <w:pPr>
              <w:pStyle w:val="TableText"/>
            </w:pPr>
          </w:p>
        </w:tc>
        <w:tc>
          <w:tcPr>
            <w:tcW w:w="624" w:type="dxa"/>
          </w:tcPr>
          <w:p w14:paraId="2FD80E07" w14:textId="77777777" w:rsidR="00161797" w:rsidRPr="001A0660" w:rsidRDefault="00161797">
            <w:pPr>
              <w:pStyle w:val="TableText"/>
            </w:pPr>
          </w:p>
        </w:tc>
        <w:tc>
          <w:tcPr>
            <w:tcW w:w="5274" w:type="dxa"/>
            <w:gridSpan w:val="4"/>
          </w:tcPr>
          <w:p w14:paraId="0E9EEEE6" w14:textId="77777777" w:rsidR="00161797" w:rsidRPr="001A0660" w:rsidRDefault="00161797" w:rsidP="00161797">
            <w:pPr>
              <w:pStyle w:val="TableBlock"/>
              <w:numPr>
                <w:ilvl w:val="0"/>
                <w:numId w:val="29"/>
              </w:numPr>
              <w:tabs>
                <w:tab w:val="left" w:pos="624"/>
              </w:tabs>
              <w:rPr>
                <w:rtl/>
              </w:rPr>
            </w:pPr>
            <w:r w:rsidRPr="001A0660">
              <w:rPr>
                <w:rFonts w:hint="cs"/>
                <w:rtl/>
              </w:rPr>
              <w:t>אחרי ההגדרה "צד קשור" יבוא:</w:t>
            </w:r>
          </w:p>
        </w:tc>
      </w:tr>
      <w:tr w:rsidR="00161797" w:rsidRPr="001A0660" w14:paraId="19719670" w14:textId="77777777">
        <w:trPr>
          <w:cantSplit/>
          <w:trHeight w:val="60"/>
        </w:trPr>
        <w:tc>
          <w:tcPr>
            <w:tcW w:w="1871" w:type="dxa"/>
          </w:tcPr>
          <w:p w14:paraId="60A3C3F6" w14:textId="77777777" w:rsidR="00161797" w:rsidRPr="001A0660" w:rsidRDefault="00161797" w:rsidP="00161797">
            <w:pPr>
              <w:pStyle w:val="TableSideHeading"/>
            </w:pPr>
          </w:p>
        </w:tc>
        <w:tc>
          <w:tcPr>
            <w:tcW w:w="624" w:type="dxa"/>
          </w:tcPr>
          <w:p w14:paraId="05A19D20" w14:textId="77777777" w:rsidR="00161797" w:rsidRPr="001A0660" w:rsidRDefault="00161797" w:rsidP="00161797">
            <w:pPr>
              <w:pStyle w:val="TableText"/>
            </w:pPr>
          </w:p>
        </w:tc>
        <w:tc>
          <w:tcPr>
            <w:tcW w:w="624" w:type="dxa"/>
          </w:tcPr>
          <w:p w14:paraId="24157632" w14:textId="77777777" w:rsidR="00161797" w:rsidRPr="001A0660" w:rsidRDefault="00161797" w:rsidP="00161797">
            <w:pPr>
              <w:pStyle w:val="TableText"/>
            </w:pPr>
          </w:p>
        </w:tc>
        <w:tc>
          <w:tcPr>
            <w:tcW w:w="624" w:type="dxa"/>
          </w:tcPr>
          <w:p w14:paraId="66641E06" w14:textId="77777777" w:rsidR="00161797" w:rsidRPr="001A0660" w:rsidRDefault="00161797" w:rsidP="00161797">
            <w:pPr>
              <w:pStyle w:val="TableText"/>
            </w:pPr>
          </w:p>
        </w:tc>
        <w:tc>
          <w:tcPr>
            <w:tcW w:w="624" w:type="dxa"/>
          </w:tcPr>
          <w:p w14:paraId="29E0BF6C" w14:textId="77777777" w:rsidR="00161797" w:rsidRPr="001A0660" w:rsidRDefault="00161797" w:rsidP="00161797">
            <w:pPr>
              <w:pStyle w:val="TableText"/>
            </w:pPr>
          </w:p>
        </w:tc>
        <w:tc>
          <w:tcPr>
            <w:tcW w:w="624" w:type="dxa"/>
          </w:tcPr>
          <w:p w14:paraId="2E1C53A6" w14:textId="77777777" w:rsidR="00161797" w:rsidRPr="001A0660" w:rsidRDefault="00161797" w:rsidP="00161797">
            <w:pPr>
              <w:pStyle w:val="TableText"/>
            </w:pPr>
          </w:p>
        </w:tc>
        <w:tc>
          <w:tcPr>
            <w:tcW w:w="4650" w:type="dxa"/>
            <w:gridSpan w:val="3"/>
          </w:tcPr>
          <w:p w14:paraId="0FC1D0BD" w14:textId="77777777" w:rsidR="00161797" w:rsidRPr="001A0660" w:rsidRDefault="00161797" w:rsidP="00EA4D67">
            <w:pPr>
              <w:pStyle w:val="TableBlockOutdent"/>
              <w:tabs>
                <w:tab w:val="clear" w:pos="624"/>
              </w:tabs>
              <w:rPr>
                <w:rtl/>
              </w:rPr>
            </w:pPr>
            <w:r w:rsidRPr="001A0660">
              <w:rPr>
                <w:rtl/>
              </w:rPr>
              <w:t>"</w:t>
            </w:r>
            <w:r w:rsidRPr="001A0660">
              <w:rPr>
                <w:rFonts w:hint="cs"/>
                <w:rtl/>
              </w:rPr>
              <w:t xml:space="preserve">שיעור רווחיות" - </w:t>
            </w:r>
            <w:r w:rsidRPr="001A0660">
              <w:rPr>
                <w:rtl/>
              </w:rPr>
              <w:t xml:space="preserve">השיעור המתקבל מחלוקת </w:t>
            </w:r>
            <w:r w:rsidR="000E39CE">
              <w:rPr>
                <w:rFonts w:hint="cs"/>
                <w:rtl/>
              </w:rPr>
              <w:t>שני אלה:</w:t>
            </w:r>
          </w:p>
        </w:tc>
      </w:tr>
      <w:tr w:rsidR="000E39CE" w14:paraId="686DCBEA" w14:textId="77777777">
        <w:trPr>
          <w:cantSplit/>
          <w:trHeight w:val="60"/>
        </w:trPr>
        <w:tc>
          <w:tcPr>
            <w:tcW w:w="1871" w:type="dxa"/>
          </w:tcPr>
          <w:p w14:paraId="35A50DDF" w14:textId="77777777" w:rsidR="000E39CE" w:rsidRDefault="000E39CE">
            <w:pPr>
              <w:pStyle w:val="TableSideHeading"/>
            </w:pPr>
          </w:p>
        </w:tc>
        <w:tc>
          <w:tcPr>
            <w:tcW w:w="624" w:type="dxa"/>
          </w:tcPr>
          <w:p w14:paraId="1811ECEB" w14:textId="77777777" w:rsidR="000E39CE" w:rsidRDefault="000E39CE">
            <w:pPr>
              <w:pStyle w:val="TableText"/>
            </w:pPr>
          </w:p>
        </w:tc>
        <w:tc>
          <w:tcPr>
            <w:tcW w:w="624" w:type="dxa"/>
          </w:tcPr>
          <w:p w14:paraId="02BAC319" w14:textId="77777777" w:rsidR="000E39CE" w:rsidRDefault="000E39CE">
            <w:pPr>
              <w:pStyle w:val="TableText"/>
            </w:pPr>
          </w:p>
        </w:tc>
        <w:tc>
          <w:tcPr>
            <w:tcW w:w="624" w:type="dxa"/>
          </w:tcPr>
          <w:p w14:paraId="51DB53BF" w14:textId="77777777" w:rsidR="000E39CE" w:rsidRDefault="000E39CE">
            <w:pPr>
              <w:pStyle w:val="TableText"/>
            </w:pPr>
          </w:p>
        </w:tc>
        <w:tc>
          <w:tcPr>
            <w:tcW w:w="624" w:type="dxa"/>
          </w:tcPr>
          <w:p w14:paraId="6628B308" w14:textId="77777777" w:rsidR="000E39CE" w:rsidRDefault="000E39CE">
            <w:pPr>
              <w:pStyle w:val="TableText"/>
            </w:pPr>
          </w:p>
        </w:tc>
        <w:tc>
          <w:tcPr>
            <w:tcW w:w="624" w:type="dxa"/>
          </w:tcPr>
          <w:p w14:paraId="42693949" w14:textId="77777777" w:rsidR="000E39CE" w:rsidRDefault="000E39CE">
            <w:pPr>
              <w:pStyle w:val="TableText"/>
            </w:pPr>
          </w:p>
        </w:tc>
        <w:tc>
          <w:tcPr>
            <w:tcW w:w="624" w:type="dxa"/>
          </w:tcPr>
          <w:p w14:paraId="59C77744" w14:textId="77777777" w:rsidR="000E39CE" w:rsidRDefault="000E39CE">
            <w:pPr>
              <w:pStyle w:val="TableText"/>
            </w:pPr>
          </w:p>
        </w:tc>
        <w:tc>
          <w:tcPr>
            <w:tcW w:w="4026" w:type="dxa"/>
            <w:gridSpan w:val="2"/>
          </w:tcPr>
          <w:p w14:paraId="54374C0F" w14:textId="77777777" w:rsidR="000E39CE" w:rsidRDefault="000E39CE" w:rsidP="00EA4D67">
            <w:pPr>
              <w:pStyle w:val="TableBlock"/>
              <w:numPr>
                <w:ilvl w:val="0"/>
                <w:numId w:val="63"/>
              </w:numPr>
              <w:tabs>
                <w:tab w:val="left" w:pos="624"/>
              </w:tabs>
            </w:pPr>
            <w:r w:rsidRPr="001A0660">
              <w:rPr>
                <w:rtl/>
              </w:rPr>
              <w:t>ההכנסה החייבת של חברת המעטים מפעילות עתירת יגיעה אישית</w:t>
            </w:r>
            <w:r w:rsidRPr="001A0660">
              <w:rPr>
                <w:rFonts w:hint="cs"/>
                <w:rtl/>
              </w:rPr>
              <w:t xml:space="preserve">, בתוספת </w:t>
            </w:r>
            <w:r w:rsidRPr="001A0660">
              <w:rPr>
                <w:rtl/>
              </w:rPr>
              <w:t>תשלו</w:t>
            </w:r>
            <w:r w:rsidRPr="001A0660">
              <w:rPr>
                <w:rFonts w:hint="cs"/>
                <w:rtl/>
              </w:rPr>
              <w:t>מים לחברה קשורה</w:t>
            </w:r>
            <w:r>
              <w:rPr>
                <w:rFonts w:hint="cs"/>
                <w:rtl/>
              </w:rPr>
              <w:t>;</w:t>
            </w:r>
          </w:p>
        </w:tc>
      </w:tr>
      <w:tr w:rsidR="000E39CE" w14:paraId="584D0162" w14:textId="77777777">
        <w:trPr>
          <w:cantSplit/>
          <w:trHeight w:val="60"/>
        </w:trPr>
        <w:tc>
          <w:tcPr>
            <w:tcW w:w="1871" w:type="dxa"/>
          </w:tcPr>
          <w:p w14:paraId="5734C27F" w14:textId="77777777" w:rsidR="000E39CE" w:rsidRDefault="000E39CE">
            <w:pPr>
              <w:pStyle w:val="TableSideHeading"/>
            </w:pPr>
          </w:p>
        </w:tc>
        <w:tc>
          <w:tcPr>
            <w:tcW w:w="624" w:type="dxa"/>
          </w:tcPr>
          <w:p w14:paraId="1E1670F5" w14:textId="77777777" w:rsidR="000E39CE" w:rsidRDefault="000E39CE" w:rsidP="000E39CE">
            <w:pPr>
              <w:pStyle w:val="TableText"/>
            </w:pPr>
          </w:p>
        </w:tc>
        <w:tc>
          <w:tcPr>
            <w:tcW w:w="624" w:type="dxa"/>
          </w:tcPr>
          <w:p w14:paraId="5DF83348" w14:textId="77777777" w:rsidR="000E39CE" w:rsidRDefault="000E39CE">
            <w:pPr>
              <w:pStyle w:val="TableText"/>
            </w:pPr>
          </w:p>
        </w:tc>
        <w:tc>
          <w:tcPr>
            <w:tcW w:w="624" w:type="dxa"/>
          </w:tcPr>
          <w:p w14:paraId="15D4278D" w14:textId="77777777" w:rsidR="000E39CE" w:rsidRDefault="000E39CE">
            <w:pPr>
              <w:pStyle w:val="TableText"/>
            </w:pPr>
          </w:p>
        </w:tc>
        <w:tc>
          <w:tcPr>
            <w:tcW w:w="624" w:type="dxa"/>
          </w:tcPr>
          <w:p w14:paraId="06FE1043" w14:textId="77777777" w:rsidR="000E39CE" w:rsidRDefault="000E39CE">
            <w:pPr>
              <w:pStyle w:val="TableText"/>
            </w:pPr>
          </w:p>
        </w:tc>
        <w:tc>
          <w:tcPr>
            <w:tcW w:w="624" w:type="dxa"/>
          </w:tcPr>
          <w:p w14:paraId="5BC28B1E" w14:textId="77777777" w:rsidR="000E39CE" w:rsidRDefault="000E39CE">
            <w:pPr>
              <w:pStyle w:val="TableText"/>
            </w:pPr>
          </w:p>
        </w:tc>
        <w:tc>
          <w:tcPr>
            <w:tcW w:w="624" w:type="dxa"/>
          </w:tcPr>
          <w:p w14:paraId="515FE141" w14:textId="77777777" w:rsidR="000E39CE" w:rsidRDefault="000E39CE">
            <w:pPr>
              <w:pStyle w:val="TableText"/>
            </w:pPr>
          </w:p>
        </w:tc>
        <w:tc>
          <w:tcPr>
            <w:tcW w:w="4026" w:type="dxa"/>
            <w:gridSpan w:val="2"/>
          </w:tcPr>
          <w:p w14:paraId="66514EE8" w14:textId="77777777" w:rsidR="000E39CE" w:rsidRPr="001A0660" w:rsidRDefault="000E39CE" w:rsidP="000E39CE">
            <w:pPr>
              <w:pStyle w:val="TableBlock"/>
              <w:numPr>
                <w:ilvl w:val="0"/>
                <w:numId w:val="63"/>
              </w:numPr>
              <w:tabs>
                <w:tab w:val="left" w:pos="624"/>
              </w:tabs>
              <w:rPr>
                <w:rtl/>
              </w:rPr>
            </w:pPr>
            <w:r w:rsidRPr="001A0660">
              <w:rPr>
                <w:rtl/>
              </w:rPr>
              <w:t>בהכנסת חברת המעטים מפעילות עתירת יגיעה אישית</w:t>
            </w:r>
            <w:r>
              <w:rPr>
                <w:rFonts w:hint="cs"/>
                <w:rtl/>
              </w:rPr>
              <w:t>;</w:t>
            </w:r>
          </w:p>
        </w:tc>
      </w:tr>
      <w:tr w:rsidR="00B8232B" w:rsidRPr="001A0660" w14:paraId="63100D60" w14:textId="77777777">
        <w:trPr>
          <w:cantSplit/>
          <w:trHeight w:val="60"/>
        </w:trPr>
        <w:tc>
          <w:tcPr>
            <w:tcW w:w="1871" w:type="dxa"/>
          </w:tcPr>
          <w:p w14:paraId="1D3AE40C" w14:textId="77777777" w:rsidR="00B8232B" w:rsidRPr="001A0660" w:rsidRDefault="00B8232B" w:rsidP="00161797">
            <w:pPr>
              <w:pStyle w:val="TableSideHeading"/>
            </w:pPr>
          </w:p>
        </w:tc>
        <w:tc>
          <w:tcPr>
            <w:tcW w:w="624" w:type="dxa"/>
          </w:tcPr>
          <w:p w14:paraId="774B52DC" w14:textId="77777777" w:rsidR="00B8232B" w:rsidRPr="001A0660" w:rsidRDefault="00B8232B" w:rsidP="00161797">
            <w:pPr>
              <w:pStyle w:val="TableText"/>
            </w:pPr>
          </w:p>
        </w:tc>
        <w:tc>
          <w:tcPr>
            <w:tcW w:w="624" w:type="dxa"/>
          </w:tcPr>
          <w:p w14:paraId="1FB6AC19" w14:textId="77777777" w:rsidR="00B8232B" w:rsidRPr="001A0660" w:rsidRDefault="00B8232B" w:rsidP="00161797">
            <w:pPr>
              <w:pStyle w:val="TableText"/>
            </w:pPr>
          </w:p>
        </w:tc>
        <w:tc>
          <w:tcPr>
            <w:tcW w:w="624" w:type="dxa"/>
          </w:tcPr>
          <w:p w14:paraId="3DF4FD65" w14:textId="77777777" w:rsidR="00B8232B" w:rsidRPr="001A0660" w:rsidRDefault="00B8232B" w:rsidP="00161797">
            <w:pPr>
              <w:pStyle w:val="TableText"/>
            </w:pPr>
          </w:p>
        </w:tc>
        <w:tc>
          <w:tcPr>
            <w:tcW w:w="624" w:type="dxa"/>
          </w:tcPr>
          <w:p w14:paraId="7AA9DC03" w14:textId="77777777" w:rsidR="00B8232B" w:rsidRPr="001A0660" w:rsidRDefault="00B8232B" w:rsidP="00161797">
            <w:pPr>
              <w:pStyle w:val="TableText"/>
            </w:pPr>
          </w:p>
        </w:tc>
        <w:tc>
          <w:tcPr>
            <w:tcW w:w="624" w:type="dxa"/>
          </w:tcPr>
          <w:p w14:paraId="616A5480" w14:textId="77777777" w:rsidR="00B8232B" w:rsidRPr="001A0660" w:rsidRDefault="00B8232B" w:rsidP="00161797">
            <w:pPr>
              <w:pStyle w:val="TableText"/>
            </w:pPr>
          </w:p>
        </w:tc>
        <w:tc>
          <w:tcPr>
            <w:tcW w:w="4650" w:type="dxa"/>
            <w:gridSpan w:val="3"/>
          </w:tcPr>
          <w:p w14:paraId="4738A49E" w14:textId="77777777" w:rsidR="00B8232B" w:rsidRPr="001A0660" w:rsidRDefault="00B8232B" w:rsidP="00B8232B">
            <w:pPr>
              <w:pStyle w:val="TableBlockOutdent"/>
              <w:rPr>
                <w:rtl/>
              </w:rPr>
            </w:pPr>
            <w:r w:rsidRPr="001A0660">
              <w:rPr>
                <w:rtl/>
              </w:rPr>
              <w:t>"תשלו</w:t>
            </w:r>
            <w:r w:rsidRPr="001A0660">
              <w:rPr>
                <w:rFonts w:hint="cs"/>
                <w:rtl/>
              </w:rPr>
              <w:t xml:space="preserve">מים לחברה קשורה" </w:t>
            </w:r>
            <w:r w:rsidRPr="001A0660">
              <w:rPr>
                <w:rtl/>
              </w:rPr>
              <w:t>–</w:t>
            </w:r>
            <w:r w:rsidRPr="001A0660">
              <w:rPr>
                <w:rFonts w:hint="cs"/>
                <w:rtl/>
              </w:rPr>
              <w:t xml:space="preserve"> תשלומים המותרים בניכוי בחישוב הכנסה חייבת מפעילות עתירת יגיעה אישית אשר שולמו לחברה שיש לחברה המשלמת יחסים מיוחדים עימה."</w:t>
            </w:r>
            <w:r w:rsidR="000E39CE">
              <w:rPr>
                <w:rFonts w:hint="cs"/>
                <w:rtl/>
              </w:rPr>
              <w:t>;</w:t>
            </w:r>
          </w:p>
        </w:tc>
      </w:tr>
      <w:tr w:rsidR="00503818" w:rsidRPr="001A0660" w14:paraId="15D59ECA" w14:textId="77777777">
        <w:trPr>
          <w:cantSplit/>
          <w:trHeight w:val="60"/>
        </w:trPr>
        <w:tc>
          <w:tcPr>
            <w:tcW w:w="1871" w:type="dxa"/>
          </w:tcPr>
          <w:p w14:paraId="79DDFCC1" w14:textId="77777777" w:rsidR="00503818" w:rsidRPr="001A0660" w:rsidRDefault="00503818">
            <w:pPr>
              <w:pStyle w:val="TableSideHeading"/>
            </w:pPr>
          </w:p>
        </w:tc>
        <w:tc>
          <w:tcPr>
            <w:tcW w:w="624" w:type="dxa"/>
          </w:tcPr>
          <w:p w14:paraId="543672FF" w14:textId="77777777" w:rsidR="00503818" w:rsidRPr="001A0660" w:rsidRDefault="00503818">
            <w:pPr>
              <w:pStyle w:val="TableText"/>
            </w:pPr>
          </w:p>
        </w:tc>
        <w:tc>
          <w:tcPr>
            <w:tcW w:w="624" w:type="dxa"/>
          </w:tcPr>
          <w:p w14:paraId="47E67648" w14:textId="77777777" w:rsidR="00503818" w:rsidRPr="001A0660" w:rsidRDefault="00503818">
            <w:pPr>
              <w:pStyle w:val="TableText"/>
            </w:pPr>
          </w:p>
        </w:tc>
        <w:tc>
          <w:tcPr>
            <w:tcW w:w="6522" w:type="dxa"/>
            <w:gridSpan w:val="6"/>
          </w:tcPr>
          <w:p w14:paraId="6F54733B" w14:textId="77777777" w:rsidR="00503818" w:rsidRPr="001A0660" w:rsidRDefault="000C0295" w:rsidP="00503818">
            <w:pPr>
              <w:pStyle w:val="TableBlock"/>
              <w:numPr>
                <w:ilvl w:val="0"/>
                <w:numId w:val="21"/>
              </w:numPr>
              <w:tabs>
                <w:tab w:val="left" w:pos="624"/>
              </w:tabs>
            </w:pPr>
            <w:r w:rsidRPr="001A0660">
              <w:rPr>
                <w:rFonts w:hint="cs"/>
                <w:rtl/>
              </w:rPr>
              <w:t xml:space="preserve">לפני סעיף 76 </w:t>
            </w:r>
            <w:r w:rsidR="000E39CE">
              <w:rPr>
                <w:rFonts w:hint="cs"/>
                <w:rtl/>
              </w:rPr>
              <w:t>ת</w:t>
            </w:r>
            <w:r w:rsidRPr="001A0660">
              <w:rPr>
                <w:rFonts w:hint="cs"/>
                <w:rtl/>
              </w:rPr>
              <w:t>בוא</w:t>
            </w:r>
            <w:r w:rsidR="000E39CE">
              <w:rPr>
                <w:rFonts w:hint="cs"/>
                <w:rtl/>
              </w:rPr>
              <w:t xml:space="preserve"> הכותרת</w:t>
            </w:r>
            <w:r w:rsidRPr="001A0660">
              <w:rPr>
                <w:rFonts w:hint="cs"/>
                <w:rtl/>
              </w:rPr>
              <w:t>:</w:t>
            </w:r>
          </w:p>
        </w:tc>
      </w:tr>
      <w:tr w:rsidR="000C0295" w:rsidRPr="001A0660" w14:paraId="64FC65B6" w14:textId="77777777">
        <w:trPr>
          <w:cantSplit/>
          <w:trHeight w:val="60"/>
        </w:trPr>
        <w:tc>
          <w:tcPr>
            <w:tcW w:w="1871" w:type="dxa"/>
          </w:tcPr>
          <w:p w14:paraId="3F3964B4" w14:textId="77777777" w:rsidR="000C0295" w:rsidRPr="001A0660" w:rsidRDefault="000C0295">
            <w:pPr>
              <w:pStyle w:val="TableSideHeading"/>
            </w:pPr>
          </w:p>
        </w:tc>
        <w:tc>
          <w:tcPr>
            <w:tcW w:w="624" w:type="dxa"/>
          </w:tcPr>
          <w:p w14:paraId="17D92582" w14:textId="77777777" w:rsidR="000C0295" w:rsidRPr="001A0660" w:rsidRDefault="000C0295">
            <w:pPr>
              <w:pStyle w:val="TableText"/>
            </w:pPr>
          </w:p>
        </w:tc>
        <w:tc>
          <w:tcPr>
            <w:tcW w:w="7146" w:type="dxa"/>
            <w:gridSpan w:val="7"/>
          </w:tcPr>
          <w:p w14:paraId="0080B716" w14:textId="77777777" w:rsidR="000C0295" w:rsidRPr="001A0660" w:rsidRDefault="000C0295">
            <w:pPr>
              <w:pStyle w:val="TableHead"/>
            </w:pPr>
            <w:bookmarkStart w:id="17" w:name="_Toc179145742"/>
            <w:bookmarkStart w:id="18" w:name="_Toc179145772"/>
            <w:r w:rsidRPr="001A0660">
              <w:rPr>
                <w:rFonts w:hint="cs"/>
                <w:rtl/>
              </w:rPr>
              <w:t xml:space="preserve">"סימן א </w:t>
            </w:r>
            <w:r w:rsidRPr="001A0660">
              <w:rPr>
                <w:rtl/>
              </w:rPr>
              <w:t>–</w:t>
            </w:r>
            <w:r w:rsidRPr="001A0660">
              <w:rPr>
                <w:rFonts w:hint="cs"/>
                <w:rtl/>
              </w:rPr>
              <w:t xml:space="preserve"> תחולה"</w:t>
            </w:r>
            <w:r w:rsidR="000E39CE" w:rsidRPr="00EA4D67">
              <w:rPr>
                <w:b w:val="0"/>
                <w:bCs w:val="0"/>
                <w:rtl/>
              </w:rPr>
              <w:t>;</w:t>
            </w:r>
            <w:bookmarkEnd w:id="17"/>
            <w:bookmarkEnd w:id="18"/>
          </w:p>
        </w:tc>
      </w:tr>
      <w:tr w:rsidR="000C0295" w:rsidRPr="001A0660" w14:paraId="1C8F000A" w14:textId="77777777">
        <w:trPr>
          <w:cantSplit/>
          <w:trHeight w:val="60"/>
        </w:trPr>
        <w:tc>
          <w:tcPr>
            <w:tcW w:w="1871" w:type="dxa"/>
          </w:tcPr>
          <w:p w14:paraId="41D6E317" w14:textId="77777777" w:rsidR="000C0295" w:rsidRPr="001A0660" w:rsidRDefault="000C0295">
            <w:pPr>
              <w:pStyle w:val="TableSideHeading"/>
            </w:pPr>
          </w:p>
        </w:tc>
        <w:tc>
          <w:tcPr>
            <w:tcW w:w="624" w:type="dxa"/>
          </w:tcPr>
          <w:p w14:paraId="6BD2C4D7" w14:textId="77777777" w:rsidR="000C0295" w:rsidRPr="001A0660" w:rsidRDefault="000C0295" w:rsidP="000C0295">
            <w:pPr>
              <w:pStyle w:val="TableText"/>
            </w:pPr>
          </w:p>
        </w:tc>
        <w:tc>
          <w:tcPr>
            <w:tcW w:w="624" w:type="dxa"/>
          </w:tcPr>
          <w:p w14:paraId="0FD663FE" w14:textId="77777777" w:rsidR="000C0295" w:rsidRPr="001A0660" w:rsidRDefault="000C0295">
            <w:pPr>
              <w:pStyle w:val="TableText"/>
            </w:pPr>
          </w:p>
        </w:tc>
        <w:tc>
          <w:tcPr>
            <w:tcW w:w="6522" w:type="dxa"/>
            <w:gridSpan w:val="6"/>
          </w:tcPr>
          <w:p w14:paraId="2EC6D2BA" w14:textId="77777777" w:rsidR="000C0295" w:rsidRPr="001A0660" w:rsidRDefault="000C0295" w:rsidP="00503818">
            <w:pPr>
              <w:pStyle w:val="TableBlock"/>
              <w:numPr>
                <w:ilvl w:val="0"/>
                <w:numId w:val="21"/>
              </w:numPr>
              <w:tabs>
                <w:tab w:val="left" w:pos="624"/>
              </w:tabs>
              <w:rPr>
                <w:rtl/>
              </w:rPr>
            </w:pPr>
            <w:r w:rsidRPr="001A0660">
              <w:rPr>
                <w:rFonts w:hint="cs"/>
                <w:rtl/>
              </w:rPr>
              <w:t xml:space="preserve">לפני סעיף 77 </w:t>
            </w:r>
            <w:r w:rsidR="000E39CE">
              <w:rPr>
                <w:rFonts w:hint="cs"/>
                <w:rtl/>
              </w:rPr>
              <w:t>ת</w:t>
            </w:r>
            <w:r w:rsidRPr="001A0660">
              <w:rPr>
                <w:rFonts w:hint="cs"/>
                <w:rtl/>
              </w:rPr>
              <w:t>בוא</w:t>
            </w:r>
            <w:r w:rsidR="000E39CE">
              <w:rPr>
                <w:rFonts w:hint="cs"/>
                <w:rtl/>
              </w:rPr>
              <w:t xml:space="preserve"> הכותרת</w:t>
            </w:r>
            <w:r w:rsidRPr="001A0660">
              <w:rPr>
                <w:rFonts w:hint="cs"/>
                <w:rtl/>
              </w:rPr>
              <w:t>:</w:t>
            </w:r>
            <w:r w:rsidR="000E39CE">
              <w:rPr>
                <w:rFonts w:hint="cs"/>
                <w:rtl/>
              </w:rPr>
              <w:t xml:space="preserve"> </w:t>
            </w:r>
          </w:p>
        </w:tc>
      </w:tr>
      <w:tr w:rsidR="000C0295" w:rsidRPr="001A0660" w14:paraId="4ACF7AD1" w14:textId="77777777">
        <w:trPr>
          <w:cantSplit/>
          <w:trHeight w:val="60"/>
        </w:trPr>
        <w:tc>
          <w:tcPr>
            <w:tcW w:w="1871" w:type="dxa"/>
          </w:tcPr>
          <w:p w14:paraId="35014AA3" w14:textId="77777777" w:rsidR="000C0295" w:rsidRPr="001A0660" w:rsidRDefault="000C0295">
            <w:pPr>
              <w:pStyle w:val="TableSideHeading"/>
            </w:pPr>
          </w:p>
        </w:tc>
        <w:tc>
          <w:tcPr>
            <w:tcW w:w="624" w:type="dxa"/>
          </w:tcPr>
          <w:p w14:paraId="0D99223D" w14:textId="77777777" w:rsidR="000C0295" w:rsidRPr="001A0660" w:rsidRDefault="000C0295">
            <w:pPr>
              <w:pStyle w:val="TableText"/>
            </w:pPr>
          </w:p>
        </w:tc>
        <w:tc>
          <w:tcPr>
            <w:tcW w:w="7146" w:type="dxa"/>
            <w:gridSpan w:val="7"/>
          </w:tcPr>
          <w:p w14:paraId="46C33B87" w14:textId="77777777" w:rsidR="000C0295" w:rsidRPr="001A0660" w:rsidRDefault="000C0295">
            <w:pPr>
              <w:pStyle w:val="TableHead"/>
            </w:pPr>
            <w:bookmarkStart w:id="19" w:name="_Toc179145743"/>
            <w:bookmarkStart w:id="20" w:name="_Toc179145773"/>
            <w:r w:rsidRPr="001A0660">
              <w:rPr>
                <w:rFonts w:hint="cs"/>
                <w:rtl/>
              </w:rPr>
              <w:t xml:space="preserve">"סימן ב </w:t>
            </w:r>
            <w:r w:rsidRPr="001A0660">
              <w:rPr>
                <w:rtl/>
              </w:rPr>
              <w:t>–</w:t>
            </w:r>
            <w:r w:rsidRPr="001A0660">
              <w:rPr>
                <w:rFonts w:hint="cs"/>
                <w:rtl/>
              </w:rPr>
              <w:t xml:space="preserve"> רווחים לא מחולקים שרואים אותם כמחולקים"</w:t>
            </w:r>
            <w:r w:rsidR="000E39CE" w:rsidRPr="00EA4D67">
              <w:rPr>
                <w:b w:val="0"/>
                <w:bCs w:val="0"/>
                <w:rtl/>
              </w:rPr>
              <w:t>;</w:t>
            </w:r>
            <w:bookmarkEnd w:id="19"/>
            <w:bookmarkEnd w:id="20"/>
          </w:p>
        </w:tc>
      </w:tr>
      <w:tr w:rsidR="000C0295" w:rsidRPr="001A0660" w14:paraId="519C456C" w14:textId="77777777">
        <w:trPr>
          <w:cantSplit/>
          <w:trHeight w:val="60"/>
        </w:trPr>
        <w:tc>
          <w:tcPr>
            <w:tcW w:w="1871" w:type="dxa"/>
          </w:tcPr>
          <w:p w14:paraId="14A7766D" w14:textId="77777777" w:rsidR="000C0295" w:rsidRPr="001A0660" w:rsidRDefault="000C0295">
            <w:pPr>
              <w:pStyle w:val="TableSideHeading"/>
            </w:pPr>
          </w:p>
        </w:tc>
        <w:tc>
          <w:tcPr>
            <w:tcW w:w="624" w:type="dxa"/>
          </w:tcPr>
          <w:p w14:paraId="7776E68C" w14:textId="77777777" w:rsidR="000C0295" w:rsidRPr="001A0660" w:rsidRDefault="000C0295" w:rsidP="000C0295">
            <w:pPr>
              <w:pStyle w:val="TableText"/>
            </w:pPr>
          </w:p>
        </w:tc>
        <w:tc>
          <w:tcPr>
            <w:tcW w:w="624" w:type="dxa"/>
          </w:tcPr>
          <w:p w14:paraId="2777767B" w14:textId="77777777" w:rsidR="000C0295" w:rsidRPr="001A0660" w:rsidRDefault="000C0295">
            <w:pPr>
              <w:pStyle w:val="TableText"/>
            </w:pPr>
          </w:p>
        </w:tc>
        <w:tc>
          <w:tcPr>
            <w:tcW w:w="6522" w:type="dxa"/>
            <w:gridSpan w:val="6"/>
          </w:tcPr>
          <w:p w14:paraId="2D091CA2" w14:textId="77777777" w:rsidR="000C0295" w:rsidRPr="001A0660" w:rsidRDefault="000C0295" w:rsidP="00503818">
            <w:pPr>
              <w:pStyle w:val="TableBlock"/>
              <w:numPr>
                <w:ilvl w:val="0"/>
                <w:numId w:val="21"/>
              </w:numPr>
              <w:tabs>
                <w:tab w:val="left" w:pos="624"/>
              </w:tabs>
              <w:rPr>
                <w:rtl/>
              </w:rPr>
            </w:pPr>
            <w:r w:rsidRPr="001A0660">
              <w:rPr>
                <w:rFonts w:hint="cs"/>
                <w:rtl/>
              </w:rPr>
              <w:t>בסעיף 77 -</w:t>
            </w:r>
          </w:p>
        </w:tc>
      </w:tr>
      <w:tr w:rsidR="009F40E3" w:rsidRPr="001A0660" w14:paraId="637E868C" w14:textId="77777777">
        <w:trPr>
          <w:cantSplit/>
          <w:trHeight w:val="60"/>
        </w:trPr>
        <w:tc>
          <w:tcPr>
            <w:tcW w:w="1871" w:type="dxa"/>
          </w:tcPr>
          <w:p w14:paraId="73202084" w14:textId="77777777" w:rsidR="009F40E3" w:rsidRPr="001A0660" w:rsidRDefault="009F40E3">
            <w:pPr>
              <w:pStyle w:val="TableSideHeading"/>
            </w:pPr>
          </w:p>
        </w:tc>
        <w:tc>
          <w:tcPr>
            <w:tcW w:w="624" w:type="dxa"/>
          </w:tcPr>
          <w:p w14:paraId="328C5174" w14:textId="77777777" w:rsidR="009F40E3" w:rsidRPr="001A0660" w:rsidRDefault="009F40E3">
            <w:pPr>
              <w:pStyle w:val="TableText"/>
            </w:pPr>
          </w:p>
        </w:tc>
        <w:tc>
          <w:tcPr>
            <w:tcW w:w="624" w:type="dxa"/>
          </w:tcPr>
          <w:p w14:paraId="4C1D9F63" w14:textId="77777777" w:rsidR="009F40E3" w:rsidRPr="001A0660" w:rsidRDefault="009F40E3">
            <w:pPr>
              <w:pStyle w:val="TableText"/>
            </w:pPr>
          </w:p>
        </w:tc>
        <w:tc>
          <w:tcPr>
            <w:tcW w:w="624" w:type="dxa"/>
          </w:tcPr>
          <w:p w14:paraId="27788769" w14:textId="77777777" w:rsidR="009F40E3" w:rsidRPr="001A0660" w:rsidRDefault="009F40E3">
            <w:pPr>
              <w:pStyle w:val="TableText"/>
            </w:pPr>
          </w:p>
        </w:tc>
        <w:tc>
          <w:tcPr>
            <w:tcW w:w="5898" w:type="dxa"/>
            <w:gridSpan w:val="5"/>
          </w:tcPr>
          <w:p w14:paraId="55EF96F1" w14:textId="77777777" w:rsidR="009F40E3" w:rsidRPr="001A0660" w:rsidRDefault="00070777" w:rsidP="009F40E3">
            <w:pPr>
              <w:pStyle w:val="TableBlock"/>
              <w:numPr>
                <w:ilvl w:val="0"/>
                <w:numId w:val="31"/>
              </w:numPr>
              <w:tabs>
                <w:tab w:val="left" w:pos="624"/>
              </w:tabs>
            </w:pPr>
            <w:r w:rsidRPr="001A0660">
              <w:rPr>
                <w:rFonts w:hint="cs"/>
                <w:rtl/>
              </w:rPr>
              <w:t>בסעיף קטן (א</w:t>
            </w:r>
            <w:r w:rsidR="009F40E3" w:rsidRPr="001A0660">
              <w:rPr>
                <w:rFonts w:hint="cs"/>
                <w:rtl/>
              </w:rPr>
              <w:t xml:space="preserve">) - </w:t>
            </w:r>
          </w:p>
        </w:tc>
      </w:tr>
      <w:tr w:rsidR="009F40E3" w:rsidRPr="001A0660" w14:paraId="56221418" w14:textId="77777777">
        <w:trPr>
          <w:cantSplit/>
          <w:trHeight w:val="60"/>
        </w:trPr>
        <w:tc>
          <w:tcPr>
            <w:tcW w:w="1871" w:type="dxa"/>
          </w:tcPr>
          <w:p w14:paraId="07FC9163" w14:textId="77777777" w:rsidR="009F40E3" w:rsidRPr="001A0660" w:rsidRDefault="009F40E3">
            <w:pPr>
              <w:pStyle w:val="TableSideHeading"/>
            </w:pPr>
          </w:p>
        </w:tc>
        <w:tc>
          <w:tcPr>
            <w:tcW w:w="624" w:type="dxa"/>
          </w:tcPr>
          <w:p w14:paraId="7F624559" w14:textId="77777777" w:rsidR="009F40E3" w:rsidRPr="001A0660" w:rsidRDefault="009F40E3">
            <w:pPr>
              <w:pStyle w:val="TableText"/>
            </w:pPr>
          </w:p>
        </w:tc>
        <w:tc>
          <w:tcPr>
            <w:tcW w:w="624" w:type="dxa"/>
          </w:tcPr>
          <w:p w14:paraId="780B64FC" w14:textId="77777777" w:rsidR="009F40E3" w:rsidRPr="001A0660" w:rsidRDefault="009F40E3">
            <w:pPr>
              <w:pStyle w:val="TableText"/>
            </w:pPr>
          </w:p>
        </w:tc>
        <w:tc>
          <w:tcPr>
            <w:tcW w:w="624" w:type="dxa"/>
          </w:tcPr>
          <w:p w14:paraId="682E08E9" w14:textId="77777777" w:rsidR="009F40E3" w:rsidRPr="001A0660" w:rsidRDefault="009F40E3">
            <w:pPr>
              <w:pStyle w:val="TableText"/>
            </w:pPr>
          </w:p>
        </w:tc>
        <w:tc>
          <w:tcPr>
            <w:tcW w:w="624" w:type="dxa"/>
          </w:tcPr>
          <w:p w14:paraId="4918CC1A" w14:textId="77777777" w:rsidR="009F40E3" w:rsidRPr="001A0660" w:rsidRDefault="009F40E3">
            <w:pPr>
              <w:pStyle w:val="TableText"/>
            </w:pPr>
          </w:p>
        </w:tc>
        <w:tc>
          <w:tcPr>
            <w:tcW w:w="5274" w:type="dxa"/>
            <w:gridSpan w:val="4"/>
          </w:tcPr>
          <w:p w14:paraId="575AEC24" w14:textId="77777777" w:rsidR="009F40E3" w:rsidRPr="001A0660" w:rsidRDefault="009F40E3" w:rsidP="009F40E3">
            <w:pPr>
              <w:pStyle w:val="TableBlock"/>
              <w:numPr>
                <w:ilvl w:val="0"/>
                <w:numId w:val="32"/>
              </w:numPr>
              <w:tabs>
                <w:tab w:val="left" w:pos="624"/>
              </w:tabs>
            </w:pPr>
            <w:r w:rsidRPr="001A0660">
              <w:rPr>
                <w:rFonts w:hint="cs"/>
                <w:rtl/>
              </w:rPr>
              <w:t xml:space="preserve">המילים ", וכי תוצאת אי החלוקה היא הימנעות ממס או הפחתת מס" </w:t>
            </w:r>
            <w:r w:rsidRPr="001A0660">
              <w:rPr>
                <w:rtl/>
              </w:rPr>
              <w:t>–</w:t>
            </w:r>
            <w:r w:rsidRPr="001A0660">
              <w:rPr>
                <w:rFonts w:hint="cs"/>
                <w:rtl/>
              </w:rPr>
              <w:t xml:space="preserve"> ימחקו;</w:t>
            </w:r>
          </w:p>
        </w:tc>
      </w:tr>
      <w:tr w:rsidR="009F40E3" w:rsidRPr="001A0660" w14:paraId="0ADC1538" w14:textId="77777777">
        <w:trPr>
          <w:cantSplit/>
          <w:trHeight w:val="60"/>
        </w:trPr>
        <w:tc>
          <w:tcPr>
            <w:tcW w:w="1871" w:type="dxa"/>
          </w:tcPr>
          <w:p w14:paraId="7469AF96" w14:textId="77777777" w:rsidR="009F40E3" w:rsidRPr="001A0660" w:rsidRDefault="009F40E3">
            <w:pPr>
              <w:pStyle w:val="TableSideHeading"/>
            </w:pPr>
          </w:p>
        </w:tc>
        <w:tc>
          <w:tcPr>
            <w:tcW w:w="624" w:type="dxa"/>
          </w:tcPr>
          <w:p w14:paraId="158209A7" w14:textId="77777777" w:rsidR="009F40E3" w:rsidRPr="001A0660" w:rsidRDefault="009F40E3" w:rsidP="009F40E3">
            <w:pPr>
              <w:pStyle w:val="TableText"/>
            </w:pPr>
          </w:p>
        </w:tc>
        <w:tc>
          <w:tcPr>
            <w:tcW w:w="624" w:type="dxa"/>
          </w:tcPr>
          <w:p w14:paraId="38B8FE65" w14:textId="77777777" w:rsidR="009F40E3" w:rsidRPr="001A0660" w:rsidRDefault="009F40E3">
            <w:pPr>
              <w:pStyle w:val="TableText"/>
            </w:pPr>
          </w:p>
        </w:tc>
        <w:tc>
          <w:tcPr>
            <w:tcW w:w="624" w:type="dxa"/>
          </w:tcPr>
          <w:p w14:paraId="2C044168" w14:textId="77777777" w:rsidR="009F40E3" w:rsidRPr="001A0660" w:rsidRDefault="009F40E3">
            <w:pPr>
              <w:pStyle w:val="TableText"/>
            </w:pPr>
          </w:p>
        </w:tc>
        <w:tc>
          <w:tcPr>
            <w:tcW w:w="624" w:type="dxa"/>
          </w:tcPr>
          <w:p w14:paraId="3A4E0F05" w14:textId="77777777" w:rsidR="009F40E3" w:rsidRPr="001A0660" w:rsidRDefault="009F40E3">
            <w:pPr>
              <w:pStyle w:val="TableText"/>
            </w:pPr>
          </w:p>
        </w:tc>
        <w:tc>
          <w:tcPr>
            <w:tcW w:w="5274" w:type="dxa"/>
            <w:gridSpan w:val="4"/>
          </w:tcPr>
          <w:p w14:paraId="5FA2FD4B" w14:textId="77777777" w:rsidR="009F40E3" w:rsidRPr="001A0660" w:rsidRDefault="009F40E3" w:rsidP="009F40E3">
            <w:pPr>
              <w:pStyle w:val="TableBlock"/>
              <w:numPr>
                <w:ilvl w:val="0"/>
                <w:numId w:val="32"/>
              </w:numPr>
              <w:tabs>
                <w:tab w:val="left" w:pos="624"/>
              </w:tabs>
              <w:rPr>
                <w:rtl/>
              </w:rPr>
            </w:pPr>
            <w:r w:rsidRPr="001A0660">
              <w:rPr>
                <w:rFonts w:hint="cs"/>
                <w:rtl/>
              </w:rPr>
              <w:t>אחרי "לעניין זה</w:t>
            </w:r>
            <w:r w:rsidR="000C0295" w:rsidRPr="001A0660">
              <w:rPr>
                <w:rFonts w:hint="cs"/>
                <w:rtl/>
              </w:rPr>
              <w:t xml:space="preserve"> </w:t>
            </w:r>
            <w:r w:rsidRPr="001A0660">
              <w:rPr>
                <w:rFonts w:hint="cs"/>
                <w:rtl/>
              </w:rPr>
              <w:t>-" יבוא -</w:t>
            </w:r>
          </w:p>
        </w:tc>
      </w:tr>
      <w:tr w:rsidR="009F40E3" w:rsidRPr="001A0660" w14:paraId="6A74853F" w14:textId="77777777">
        <w:trPr>
          <w:cantSplit/>
          <w:trHeight w:val="60"/>
        </w:trPr>
        <w:tc>
          <w:tcPr>
            <w:tcW w:w="1871" w:type="dxa"/>
          </w:tcPr>
          <w:p w14:paraId="3826B932" w14:textId="77777777" w:rsidR="009F40E3" w:rsidRPr="001A0660" w:rsidRDefault="009F40E3">
            <w:pPr>
              <w:pStyle w:val="TableSideHeading"/>
            </w:pPr>
          </w:p>
        </w:tc>
        <w:tc>
          <w:tcPr>
            <w:tcW w:w="624" w:type="dxa"/>
          </w:tcPr>
          <w:p w14:paraId="409B8151" w14:textId="77777777" w:rsidR="009F40E3" w:rsidRPr="001A0660" w:rsidRDefault="009F40E3">
            <w:pPr>
              <w:pStyle w:val="TableText"/>
            </w:pPr>
          </w:p>
        </w:tc>
        <w:tc>
          <w:tcPr>
            <w:tcW w:w="624" w:type="dxa"/>
          </w:tcPr>
          <w:p w14:paraId="28BCC536" w14:textId="77777777" w:rsidR="009F40E3" w:rsidRPr="001A0660" w:rsidRDefault="009F40E3">
            <w:pPr>
              <w:pStyle w:val="TableText"/>
            </w:pPr>
          </w:p>
        </w:tc>
        <w:tc>
          <w:tcPr>
            <w:tcW w:w="624" w:type="dxa"/>
          </w:tcPr>
          <w:p w14:paraId="6CE678B7" w14:textId="77777777" w:rsidR="009F40E3" w:rsidRPr="001A0660" w:rsidRDefault="009F40E3">
            <w:pPr>
              <w:pStyle w:val="TableText"/>
            </w:pPr>
          </w:p>
        </w:tc>
        <w:tc>
          <w:tcPr>
            <w:tcW w:w="624" w:type="dxa"/>
          </w:tcPr>
          <w:p w14:paraId="60B1E4FD" w14:textId="77777777" w:rsidR="009F40E3" w:rsidRPr="001A0660" w:rsidRDefault="009F40E3">
            <w:pPr>
              <w:pStyle w:val="TableText"/>
            </w:pPr>
          </w:p>
        </w:tc>
        <w:tc>
          <w:tcPr>
            <w:tcW w:w="624" w:type="dxa"/>
          </w:tcPr>
          <w:p w14:paraId="23AA95F4" w14:textId="77777777" w:rsidR="009F40E3" w:rsidRPr="001A0660" w:rsidRDefault="009F40E3">
            <w:pPr>
              <w:pStyle w:val="TableText"/>
            </w:pPr>
          </w:p>
        </w:tc>
        <w:tc>
          <w:tcPr>
            <w:tcW w:w="4650" w:type="dxa"/>
            <w:gridSpan w:val="3"/>
          </w:tcPr>
          <w:p w14:paraId="62477586" w14:textId="77777777" w:rsidR="009F40E3" w:rsidRPr="001A0660" w:rsidRDefault="009F40E3">
            <w:pPr>
              <w:pStyle w:val="TableBlock"/>
            </w:pPr>
            <w:r w:rsidRPr="001A0660">
              <w:rPr>
                <w:rFonts w:hint="cs"/>
                <w:rtl/>
              </w:rPr>
              <w:t>""</w:t>
            </w:r>
            <w:r w:rsidRPr="001A0660">
              <w:rPr>
                <w:rtl/>
              </w:rPr>
              <w:t xml:space="preserve">עסקה" – למעט עסק שלדעת </w:t>
            </w:r>
            <w:r w:rsidR="00C9048E" w:rsidRPr="001A0660">
              <w:rPr>
                <w:rFonts w:hint="cs"/>
                <w:rtl/>
              </w:rPr>
              <w:t>המנהל</w:t>
            </w:r>
            <w:r w:rsidR="008D76B3" w:rsidRPr="001A0660">
              <w:rPr>
                <w:rtl/>
              </w:rPr>
              <w:t xml:space="preserve"> </w:t>
            </w:r>
            <w:r w:rsidRPr="001A0660">
              <w:rPr>
                <w:rtl/>
              </w:rPr>
              <w:t>הוא טפל לעסקה העיקרי של החברה</w:t>
            </w:r>
            <w:r w:rsidR="008D76B3" w:rsidRPr="001A0660">
              <w:rPr>
                <w:rFonts w:hint="cs"/>
                <w:rtl/>
              </w:rPr>
              <w:t>;</w:t>
            </w:r>
            <w:r w:rsidR="008D76B3" w:rsidRPr="001A0660">
              <w:rPr>
                <w:rtl/>
              </w:rPr>
              <w:t xml:space="preserve"> </w:t>
            </w:r>
            <w:r w:rsidRPr="001A0660">
              <w:rPr>
                <w:rtl/>
              </w:rPr>
              <w:t>ולגבי חברת מעטים שיש לה עסק שמופקות ממנו הכנסות מפעילות עתירת יגיעה אישית וגם עסק שמופקות ממנו הכנסות אחרות – יראו את העסק שמופקות ממנו ההכנסות האחרות כעסק שהוא טפל לעסקה העיקרי של החברה. לענ</w:t>
            </w:r>
            <w:r w:rsidRPr="001A0660">
              <w:rPr>
                <w:rFonts w:hint="cs"/>
                <w:rtl/>
              </w:rPr>
              <w:t>י</w:t>
            </w:r>
            <w:r w:rsidRPr="001A0660">
              <w:rPr>
                <w:rtl/>
              </w:rPr>
              <w:t>ין זה, "הכנסות מפעילות עתירת יגיעה אישית" ו-"הכנסות אחרות" -  כהגדרתם בסעיף 62א</w:t>
            </w:r>
            <w:r w:rsidRPr="001A0660">
              <w:rPr>
                <w:rFonts w:hint="cs"/>
                <w:rtl/>
              </w:rPr>
              <w:t>"</w:t>
            </w:r>
            <w:r w:rsidR="00B31CA9" w:rsidRPr="001A0660">
              <w:rPr>
                <w:rFonts w:hint="cs"/>
                <w:rtl/>
              </w:rPr>
              <w:t>;</w:t>
            </w:r>
          </w:p>
        </w:tc>
      </w:tr>
      <w:tr w:rsidR="00070777" w:rsidRPr="001A0660" w14:paraId="0568A908" w14:textId="77777777">
        <w:trPr>
          <w:cantSplit/>
          <w:trHeight w:val="60"/>
        </w:trPr>
        <w:tc>
          <w:tcPr>
            <w:tcW w:w="1871" w:type="dxa"/>
          </w:tcPr>
          <w:p w14:paraId="1328AD7D" w14:textId="77777777" w:rsidR="00070777" w:rsidRPr="001A0660" w:rsidRDefault="00070777">
            <w:pPr>
              <w:pStyle w:val="TableSideHeading"/>
            </w:pPr>
          </w:p>
        </w:tc>
        <w:tc>
          <w:tcPr>
            <w:tcW w:w="624" w:type="dxa"/>
          </w:tcPr>
          <w:p w14:paraId="1A944198" w14:textId="77777777" w:rsidR="00070777" w:rsidRPr="001A0660" w:rsidRDefault="00070777">
            <w:pPr>
              <w:pStyle w:val="TableText"/>
            </w:pPr>
          </w:p>
        </w:tc>
        <w:tc>
          <w:tcPr>
            <w:tcW w:w="624" w:type="dxa"/>
          </w:tcPr>
          <w:p w14:paraId="44A52C00" w14:textId="77777777" w:rsidR="00070777" w:rsidRPr="001A0660" w:rsidRDefault="00070777">
            <w:pPr>
              <w:pStyle w:val="TableText"/>
            </w:pPr>
          </w:p>
        </w:tc>
        <w:tc>
          <w:tcPr>
            <w:tcW w:w="624" w:type="dxa"/>
          </w:tcPr>
          <w:p w14:paraId="0F95D64B" w14:textId="77777777" w:rsidR="00070777" w:rsidRPr="001A0660" w:rsidRDefault="00070777">
            <w:pPr>
              <w:pStyle w:val="TableText"/>
            </w:pPr>
          </w:p>
        </w:tc>
        <w:tc>
          <w:tcPr>
            <w:tcW w:w="5898" w:type="dxa"/>
            <w:gridSpan w:val="5"/>
          </w:tcPr>
          <w:p w14:paraId="024AAA01" w14:textId="77777777" w:rsidR="00070777" w:rsidRPr="001A0660" w:rsidRDefault="00070777" w:rsidP="001A0660">
            <w:pPr>
              <w:pStyle w:val="TableBlock"/>
              <w:numPr>
                <w:ilvl w:val="0"/>
                <w:numId w:val="31"/>
              </w:numPr>
              <w:tabs>
                <w:tab w:val="left" w:pos="624"/>
              </w:tabs>
            </w:pPr>
            <w:r w:rsidRPr="001A0660">
              <w:rPr>
                <w:rFonts w:hint="cs"/>
                <w:rtl/>
              </w:rPr>
              <w:t>אחרי סעיף קטן (ג) יבוא:</w:t>
            </w:r>
          </w:p>
        </w:tc>
      </w:tr>
      <w:tr w:rsidR="00B31CA9" w:rsidRPr="001A0660" w14:paraId="38B93F0D" w14:textId="77777777">
        <w:trPr>
          <w:cantSplit/>
          <w:trHeight w:val="60"/>
        </w:trPr>
        <w:tc>
          <w:tcPr>
            <w:tcW w:w="1871" w:type="dxa"/>
          </w:tcPr>
          <w:p w14:paraId="1B294205" w14:textId="77777777" w:rsidR="00B31CA9" w:rsidRPr="001A0660" w:rsidRDefault="00B31CA9">
            <w:pPr>
              <w:pStyle w:val="TableSideHeading"/>
            </w:pPr>
          </w:p>
        </w:tc>
        <w:tc>
          <w:tcPr>
            <w:tcW w:w="624" w:type="dxa"/>
          </w:tcPr>
          <w:p w14:paraId="18D6876F" w14:textId="77777777" w:rsidR="00B31CA9" w:rsidRPr="001A0660" w:rsidRDefault="00B31CA9">
            <w:pPr>
              <w:pStyle w:val="TableText"/>
            </w:pPr>
          </w:p>
        </w:tc>
        <w:tc>
          <w:tcPr>
            <w:tcW w:w="624" w:type="dxa"/>
          </w:tcPr>
          <w:p w14:paraId="79167ECE" w14:textId="77777777" w:rsidR="00B31CA9" w:rsidRPr="001A0660" w:rsidRDefault="00B31CA9">
            <w:pPr>
              <w:pStyle w:val="TableText"/>
            </w:pPr>
          </w:p>
        </w:tc>
        <w:tc>
          <w:tcPr>
            <w:tcW w:w="624" w:type="dxa"/>
          </w:tcPr>
          <w:p w14:paraId="6F0BA659" w14:textId="77777777" w:rsidR="00B31CA9" w:rsidRPr="001A0660" w:rsidRDefault="00B31CA9">
            <w:pPr>
              <w:pStyle w:val="TableText"/>
            </w:pPr>
          </w:p>
        </w:tc>
        <w:tc>
          <w:tcPr>
            <w:tcW w:w="624" w:type="dxa"/>
          </w:tcPr>
          <w:p w14:paraId="2CF99028" w14:textId="77777777" w:rsidR="00B31CA9" w:rsidRPr="001A0660" w:rsidRDefault="00070777">
            <w:pPr>
              <w:pStyle w:val="TableText"/>
            </w:pPr>
            <w:r w:rsidRPr="001A0660">
              <w:rPr>
                <w:rFonts w:hint="cs"/>
                <w:rtl/>
              </w:rPr>
              <w:t>"(ג1)</w:t>
            </w:r>
          </w:p>
        </w:tc>
        <w:tc>
          <w:tcPr>
            <w:tcW w:w="5274" w:type="dxa"/>
            <w:gridSpan w:val="4"/>
          </w:tcPr>
          <w:p w14:paraId="7D1C10B1" w14:textId="77777777" w:rsidR="00B31CA9" w:rsidRPr="001A0660" w:rsidRDefault="00B31CA9" w:rsidP="001A0660">
            <w:pPr>
              <w:pStyle w:val="TableBlock"/>
              <w:tabs>
                <w:tab w:val="clear" w:pos="624"/>
              </w:tabs>
              <w:rPr>
                <w:rtl/>
              </w:rPr>
            </w:pPr>
            <w:r w:rsidRPr="001A0660">
              <w:rPr>
                <w:rFonts w:hint="cs"/>
                <w:rtl/>
              </w:rPr>
              <w:t xml:space="preserve">חזקה היא שיש בידי חברת מעטים לחלק רווחים </w:t>
            </w:r>
            <w:r w:rsidR="00070777" w:rsidRPr="001A0660">
              <w:rPr>
                <w:rFonts w:hint="cs"/>
                <w:rtl/>
              </w:rPr>
              <w:t>מ</w:t>
            </w:r>
            <w:r w:rsidR="00070777" w:rsidRPr="001A0660">
              <w:rPr>
                <w:rtl/>
              </w:rPr>
              <w:t>בלי להזיק לקיומו ולפיתוחו של עסקה</w:t>
            </w:r>
            <w:r w:rsidR="00070777" w:rsidRPr="001A0660">
              <w:rPr>
                <w:rFonts w:hint="cs"/>
                <w:rtl/>
              </w:rPr>
              <w:t xml:space="preserve"> אם הרווחים </w:t>
            </w:r>
            <w:r w:rsidRPr="001A0660">
              <w:rPr>
                <w:rFonts w:hint="cs"/>
                <w:rtl/>
              </w:rPr>
              <w:t xml:space="preserve">שנצברו </w:t>
            </w:r>
            <w:r w:rsidR="00070777" w:rsidRPr="001A0660">
              <w:rPr>
                <w:rFonts w:hint="cs"/>
                <w:rtl/>
              </w:rPr>
              <w:t xml:space="preserve">הם </w:t>
            </w:r>
            <w:r w:rsidRPr="001A0660">
              <w:rPr>
                <w:rFonts w:hint="cs"/>
                <w:rtl/>
              </w:rPr>
              <w:t>מעבר לדרוש באופן סביר לצורך ניהול עסק</w:t>
            </w:r>
            <w:r w:rsidR="00070777" w:rsidRPr="001A0660">
              <w:rPr>
                <w:rFonts w:hint="cs"/>
                <w:rtl/>
              </w:rPr>
              <w:t xml:space="preserve"> מהסוג המנוהל בחברת המעטים</w:t>
            </w:r>
            <w:r w:rsidRPr="001A0660">
              <w:rPr>
                <w:rFonts w:hint="cs"/>
                <w:rtl/>
              </w:rPr>
              <w:t xml:space="preserve">; הטוען כי </w:t>
            </w:r>
            <w:r w:rsidR="00070777" w:rsidRPr="001A0660">
              <w:rPr>
                <w:rFonts w:hint="cs"/>
                <w:rtl/>
              </w:rPr>
              <w:t xml:space="preserve">חלוקת </w:t>
            </w:r>
            <w:r w:rsidRPr="001A0660">
              <w:rPr>
                <w:rFonts w:hint="cs"/>
                <w:rtl/>
              </w:rPr>
              <w:t xml:space="preserve">הרווחים הנצברים </w:t>
            </w:r>
            <w:r w:rsidR="00070777" w:rsidRPr="001A0660">
              <w:rPr>
                <w:rFonts w:hint="cs"/>
                <w:rtl/>
              </w:rPr>
              <w:t>תזיק לקיומו ופיתוחו של העסק על אף שרווחים אלה אינם דרושים באופן סביר</w:t>
            </w:r>
            <w:r w:rsidRPr="001A0660">
              <w:rPr>
                <w:rFonts w:hint="cs"/>
                <w:rtl/>
              </w:rPr>
              <w:t xml:space="preserve"> </w:t>
            </w:r>
            <w:r w:rsidRPr="001A0660">
              <w:rPr>
                <w:rtl/>
              </w:rPr>
              <w:t>–</w:t>
            </w:r>
            <w:r w:rsidRPr="001A0660">
              <w:rPr>
                <w:rFonts w:hint="cs"/>
                <w:rtl/>
              </w:rPr>
              <w:t xml:space="preserve"> עליו הראיה. </w:t>
            </w:r>
          </w:p>
        </w:tc>
      </w:tr>
      <w:tr w:rsidR="000E39CE" w:rsidRPr="001A0660" w14:paraId="4FA17891" w14:textId="77777777">
        <w:trPr>
          <w:cantSplit/>
          <w:trHeight w:val="60"/>
        </w:trPr>
        <w:tc>
          <w:tcPr>
            <w:tcW w:w="1871" w:type="dxa"/>
          </w:tcPr>
          <w:p w14:paraId="35B4AD2A" w14:textId="77777777" w:rsidR="000E39CE" w:rsidRPr="001A0660" w:rsidRDefault="000E39CE">
            <w:pPr>
              <w:pStyle w:val="TableSideHeading"/>
            </w:pPr>
          </w:p>
        </w:tc>
        <w:tc>
          <w:tcPr>
            <w:tcW w:w="624" w:type="dxa"/>
          </w:tcPr>
          <w:p w14:paraId="6F63FD1F" w14:textId="77777777" w:rsidR="000E39CE" w:rsidRPr="001A0660" w:rsidRDefault="000E39CE" w:rsidP="000E39CE">
            <w:pPr>
              <w:pStyle w:val="TableText"/>
            </w:pPr>
          </w:p>
        </w:tc>
        <w:tc>
          <w:tcPr>
            <w:tcW w:w="624" w:type="dxa"/>
          </w:tcPr>
          <w:p w14:paraId="69F2786F" w14:textId="77777777" w:rsidR="000E39CE" w:rsidRPr="001A0660" w:rsidRDefault="000E39CE">
            <w:pPr>
              <w:pStyle w:val="TableText"/>
            </w:pPr>
          </w:p>
        </w:tc>
        <w:tc>
          <w:tcPr>
            <w:tcW w:w="624" w:type="dxa"/>
          </w:tcPr>
          <w:p w14:paraId="16032300" w14:textId="77777777" w:rsidR="000E39CE" w:rsidRPr="001A0660" w:rsidRDefault="000E39CE">
            <w:pPr>
              <w:pStyle w:val="TableText"/>
            </w:pPr>
          </w:p>
        </w:tc>
        <w:tc>
          <w:tcPr>
            <w:tcW w:w="624" w:type="dxa"/>
          </w:tcPr>
          <w:p w14:paraId="11628754" w14:textId="77777777" w:rsidR="000E39CE" w:rsidRPr="001A0660" w:rsidRDefault="000E39CE">
            <w:pPr>
              <w:pStyle w:val="TableText"/>
              <w:rPr>
                <w:rtl/>
              </w:rPr>
            </w:pPr>
            <w:r>
              <w:rPr>
                <w:rFonts w:hint="cs"/>
                <w:rtl/>
              </w:rPr>
              <w:t>(ג2)</w:t>
            </w:r>
          </w:p>
        </w:tc>
        <w:tc>
          <w:tcPr>
            <w:tcW w:w="5274" w:type="dxa"/>
            <w:gridSpan w:val="4"/>
          </w:tcPr>
          <w:p w14:paraId="0BEE4A35" w14:textId="77777777" w:rsidR="000E39CE" w:rsidRPr="001A0660" w:rsidRDefault="000E39CE" w:rsidP="001A0660">
            <w:pPr>
              <w:pStyle w:val="TableBlock"/>
              <w:tabs>
                <w:tab w:val="clear" w:pos="624"/>
              </w:tabs>
              <w:rPr>
                <w:rtl/>
              </w:rPr>
            </w:pPr>
            <w:r w:rsidRPr="001A0660">
              <w:rPr>
                <w:rFonts w:hint="cs"/>
                <w:rtl/>
              </w:rPr>
              <w:t>שר האוצר, באישור ועדת הכספים של הכנסת, רשאי לקבוע תנאים ונסיבות שבהתקיימותן יראו צבירת רווחים ככאלו שאינם דרושים לעסק באופן סביר."</w:t>
            </w:r>
            <w:r>
              <w:rPr>
                <w:rFonts w:hint="cs"/>
                <w:rtl/>
              </w:rPr>
              <w:t>;</w:t>
            </w:r>
          </w:p>
        </w:tc>
      </w:tr>
      <w:tr w:rsidR="004B66B7" w:rsidRPr="001A0660" w14:paraId="51296B19" w14:textId="77777777">
        <w:trPr>
          <w:cantSplit/>
          <w:trHeight w:val="60"/>
        </w:trPr>
        <w:tc>
          <w:tcPr>
            <w:tcW w:w="1871" w:type="dxa"/>
          </w:tcPr>
          <w:p w14:paraId="009B3E0D" w14:textId="77777777" w:rsidR="004B66B7" w:rsidRPr="001A0660" w:rsidRDefault="004B66B7">
            <w:pPr>
              <w:pStyle w:val="TableSideHeading"/>
            </w:pPr>
          </w:p>
        </w:tc>
        <w:tc>
          <w:tcPr>
            <w:tcW w:w="624" w:type="dxa"/>
          </w:tcPr>
          <w:p w14:paraId="5EA8375C" w14:textId="77777777" w:rsidR="004B66B7" w:rsidRPr="001A0660" w:rsidRDefault="004B66B7">
            <w:pPr>
              <w:pStyle w:val="TableText"/>
            </w:pPr>
          </w:p>
        </w:tc>
        <w:tc>
          <w:tcPr>
            <w:tcW w:w="624" w:type="dxa"/>
          </w:tcPr>
          <w:p w14:paraId="7660BEEE" w14:textId="77777777" w:rsidR="004B66B7" w:rsidRPr="001A0660" w:rsidRDefault="004B66B7">
            <w:pPr>
              <w:pStyle w:val="TableText"/>
            </w:pPr>
          </w:p>
        </w:tc>
        <w:tc>
          <w:tcPr>
            <w:tcW w:w="6522" w:type="dxa"/>
            <w:gridSpan w:val="6"/>
          </w:tcPr>
          <w:p w14:paraId="78899516" w14:textId="77777777" w:rsidR="004B66B7" w:rsidRPr="001A0660" w:rsidRDefault="004B66B7" w:rsidP="004B66B7">
            <w:pPr>
              <w:pStyle w:val="TableBlock"/>
              <w:numPr>
                <w:ilvl w:val="0"/>
                <w:numId w:val="21"/>
              </w:numPr>
              <w:tabs>
                <w:tab w:val="left" w:pos="624"/>
              </w:tabs>
            </w:pPr>
            <w:r w:rsidRPr="001A0660">
              <w:rPr>
                <w:rFonts w:hint="cs"/>
                <w:rtl/>
              </w:rPr>
              <w:t>אחרי סעיף 81 יבוא:</w:t>
            </w:r>
          </w:p>
        </w:tc>
      </w:tr>
      <w:tr w:rsidR="004B66B7" w:rsidRPr="001A0660" w14:paraId="470A5464" w14:textId="77777777">
        <w:trPr>
          <w:cantSplit/>
          <w:trHeight w:val="60"/>
        </w:trPr>
        <w:tc>
          <w:tcPr>
            <w:tcW w:w="1871" w:type="dxa"/>
          </w:tcPr>
          <w:p w14:paraId="3CFE6C88" w14:textId="77777777" w:rsidR="004B66B7" w:rsidRPr="001A0660" w:rsidRDefault="004B66B7">
            <w:pPr>
              <w:pStyle w:val="TableSideHeading"/>
            </w:pPr>
          </w:p>
        </w:tc>
        <w:tc>
          <w:tcPr>
            <w:tcW w:w="624" w:type="dxa"/>
          </w:tcPr>
          <w:p w14:paraId="07967E11" w14:textId="77777777" w:rsidR="004B66B7" w:rsidRPr="001A0660" w:rsidRDefault="004B66B7">
            <w:pPr>
              <w:pStyle w:val="TableText"/>
            </w:pPr>
          </w:p>
        </w:tc>
        <w:tc>
          <w:tcPr>
            <w:tcW w:w="7146" w:type="dxa"/>
            <w:gridSpan w:val="7"/>
          </w:tcPr>
          <w:p w14:paraId="336F11CA" w14:textId="77777777" w:rsidR="004B66B7" w:rsidRPr="001A0660" w:rsidRDefault="004B66B7">
            <w:pPr>
              <w:pStyle w:val="TableHead"/>
            </w:pPr>
            <w:bookmarkStart w:id="21" w:name="_Toc179145744"/>
            <w:bookmarkStart w:id="22" w:name="_Toc179145774"/>
            <w:r w:rsidRPr="001A0660">
              <w:rPr>
                <w:rFonts w:hint="cs"/>
                <w:rtl/>
              </w:rPr>
              <w:t>"</w:t>
            </w:r>
            <w:r w:rsidR="006617D0" w:rsidRPr="001A0660">
              <w:rPr>
                <w:rFonts w:hint="cs"/>
                <w:rtl/>
              </w:rPr>
              <w:t xml:space="preserve">סימן </w:t>
            </w:r>
            <w:r w:rsidR="000C0295" w:rsidRPr="001A0660">
              <w:rPr>
                <w:rFonts w:hint="cs"/>
                <w:rtl/>
              </w:rPr>
              <w:t>ג</w:t>
            </w:r>
            <w:r w:rsidR="006617D0" w:rsidRPr="001A0660">
              <w:rPr>
                <w:rFonts w:hint="cs"/>
                <w:rtl/>
              </w:rPr>
              <w:t xml:space="preserve"> </w:t>
            </w:r>
            <w:r w:rsidR="006617D0" w:rsidRPr="001A0660">
              <w:rPr>
                <w:rtl/>
              </w:rPr>
              <w:t>–</w:t>
            </w:r>
            <w:r w:rsidR="006617D0" w:rsidRPr="001A0660">
              <w:rPr>
                <w:rFonts w:hint="cs"/>
                <w:rtl/>
              </w:rPr>
              <w:t xml:space="preserve"> </w:t>
            </w:r>
            <w:r w:rsidR="00BE42CF" w:rsidRPr="001A0660">
              <w:rPr>
                <w:rFonts w:hint="cs"/>
                <w:rtl/>
              </w:rPr>
              <w:t xml:space="preserve">תוספת </w:t>
            </w:r>
            <w:r w:rsidR="006617D0" w:rsidRPr="001A0660">
              <w:rPr>
                <w:rFonts w:hint="cs"/>
                <w:rtl/>
              </w:rPr>
              <w:t>מס על רווחי חברת מעטים שלא חולקו</w:t>
            </w:r>
            <w:bookmarkEnd w:id="21"/>
            <w:bookmarkEnd w:id="22"/>
          </w:p>
        </w:tc>
      </w:tr>
      <w:tr w:rsidR="006617D0" w:rsidRPr="001A0660" w14:paraId="6DCE3B0D" w14:textId="77777777">
        <w:trPr>
          <w:cantSplit/>
          <w:trHeight w:val="60"/>
        </w:trPr>
        <w:tc>
          <w:tcPr>
            <w:tcW w:w="1871" w:type="dxa"/>
          </w:tcPr>
          <w:p w14:paraId="72544A48" w14:textId="77777777" w:rsidR="006617D0" w:rsidRPr="001A0660" w:rsidRDefault="006617D0">
            <w:pPr>
              <w:pStyle w:val="TableSideHeading"/>
              <w:keepLines w:val="0"/>
            </w:pPr>
          </w:p>
        </w:tc>
        <w:tc>
          <w:tcPr>
            <w:tcW w:w="624" w:type="dxa"/>
          </w:tcPr>
          <w:p w14:paraId="26B290B6" w14:textId="77777777" w:rsidR="006617D0" w:rsidRPr="001A0660" w:rsidRDefault="006617D0">
            <w:pPr>
              <w:pStyle w:val="TableText"/>
              <w:keepLines w:val="0"/>
            </w:pPr>
          </w:p>
        </w:tc>
        <w:tc>
          <w:tcPr>
            <w:tcW w:w="1872" w:type="dxa"/>
            <w:gridSpan w:val="3"/>
          </w:tcPr>
          <w:p w14:paraId="2B6666F7" w14:textId="77777777" w:rsidR="006617D0" w:rsidRPr="001A0660" w:rsidRDefault="006617D0">
            <w:pPr>
              <w:pStyle w:val="TableInnerSideHeading"/>
            </w:pPr>
            <w:r w:rsidRPr="001A0660">
              <w:rPr>
                <w:rFonts w:hint="cs"/>
                <w:rtl/>
              </w:rPr>
              <w:t>הגדרות</w:t>
            </w:r>
          </w:p>
        </w:tc>
        <w:tc>
          <w:tcPr>
            <w:tcW w:w="624" w:type="dxa"/>
          </w:tcPr>
          <w:p w14:paraId="1288EB33" w14:textId="77777777" w:rsidR="006617D0" w:rsidRPr="001A0660" w:rsidRDefault="006617D0">
            <w:pPr>
              <w:pStyle w:val="TableText"/>
            </w:pPr>
            <w:r w:rsidRPr="001A0660">
              <w:rPr>
                <w:rFonts w:hint="cs"/>
                <w:rtl/>
              </w:rPr>
              <w:t>81א</w:t>
            </w:r>
          </w:p>
        </w:tc>
        <w:tc>
          <w:tcPr>
            <w:tcW w:w="4650" w:type="dxa"/>
            <w:gridSpan w:val="3"/>
          </w:tcPr>
          <w:p w14:paraId="29B3B25C" w14:textId="77777777" w:rsidR="006617D0" w:rsidRPr="001A0660" w:rsidRDefault="00B31CA9">
            <w:pPr>
              <w:pStyle w:val="TableBlock"/>
            </w:pPr>
            <w:r w:rsidRPr="001A0660">
              <w:rPr>
                <w:rtl/>
              </w:rPr>
              <w:t>"הלוואה" – לרבות השאלה או כל חוב אחר</w:t>
            </w:r>
            <w:r w:rsidRPr="001A0660">
              <w:rPr>
                <w:rFonts w:hint="cs"/>
                <w:rtl/>
              </w:rPr>
              <w:t>;</w:t>
            </w:r>
          </w:p>
        </w:tc>
      </w:tr>
      <w:tr w:rsidR="0034581E" w:rsidRPr="001A0660" w14:paraId="622B82D7" w14:textId="77777777">
        <w:trPr>
          <w:cantSplit/>
          <w:trHeight w:val="60"/>
        </w:trPr>
        <w:tc>
          <w:tcPr>
            <w:tcW w:w="1871" w:type="dxa"/>
          </w:tcPr>
          <w:p w14:paraId="1BBC5471" w14:textId="77777777" w:rsidR="0034581E" w:rsidRPr="001A0660" w:rsidRDefault="0034581E">
            <w:pPr>
              <w:pStyle w:val="TableSideHeading"/>
            </w:pPr>
          </w:p>
        </w:tc>
        <w:tc>
          <w:tcPr>
            <w:tcW w:w="624" w:type="dxa"/>
          </w:tcPr>
          <w:p w14:paraId="23002A20" w14:textId="77777777" w:rsidR="0034581E" w:rsidRPr="001A0660" w:rsidRDefault="0034581E">
            <w:pPr>
              <w:pStyle w:val="TableText"/>
            </w:pPr>
          </w:p>
        </w:tc>
        <w:tc>
          <w:tcPr>
            <w:tcW w:w="624" w:type="dxa"/>
          </w:tcPr>
          <w:p w14:paraId="585CD482" w14:textId="77777777" w:rsidR="0034581E" w:rsidRPr="001A0660" w:rsidRDefault="0034581E">
            <w:pPr>
              <w:pStyle w:val="TableText"/>
            </w:pPr>
          </w:p>
        </w:tc>
        <w:tc>
          <w:tcPr>
            <w:tcW w:w="624" w:type="dxa"/>
          </w:tcPr>
          <w:p w14:paraId="7C51529E" w14:textId="77777777" w:rsidR="0034581E" w:rsidRPr="001A0660" w:rsidRDefault="0034581E">
            <w:pPr>
              <w:pStyle w:val="TableText"/>
            </w:pPr>
          </w:p>
        </w:tc>
        <w:tc>
          <w:tcPr>
            <w:tcW w:w="624" w:type="dxa"/>
          </w:tcPr>
          <w:p w14:paraId="56DB7DF8" w14:textId="77777777" w:rsidR="0034581E" w:rsidRPr="001A0660" w:rsidRDefault="0034581E">
            <w:pPr>
              <w:pStyle w:val="TableText"/>
            </w:pPr>
          </w:p>
        </w:tc>
        <w:tc>
          <w:tcPr>
            <w:tcW w:w="624" w:type="dxa"/>
          </w:tcPr>
          <w:p w14:paraId="3D7C75A0" w14:textId="77777777" w:rsidR="0034581E" w:rsidRPr="001A0660" w:rsidRDefault="0034581E">
            <w:pPr>
              <w:pStyle w:val="TableText"/>
            </w:pPr>
          </w:p>
        </w:tc>
        <w:tc>
          <w:tcPr>
            <w:tcW w:w="4650" w:type="dxa"/>
            <w:gridSpan w:val="3"/>
          </w:tcPr>
          <w:p w14:paraId="6AB94F7E" w14:textId="77777777" w:rsidR="0034581E" w:rsidRPr="001A0660" w:rsidRDefault="0034581E" w:rsidP="0034581E">
            <w:pPr>
              <w:pStyle w:val="TableBlockOutdent"/>
              <w:rPr>
                <w:rtl/>
              </w:rPr>
            </w:pPr>
            <w:r w:rsidRPr="001A0660">
              <w:rPr>
                <w:rFonts w:hint="cs"/>
                <w:rtl/>
              </w:rPr>
              <w:t>"</w:t>
            </w:r>
            <w:r w:rsidRPr="001A0660">
              <w:rPr>
                <w:rtl/>
              </w:rPr>
              <w:t>רווחים נצברים" – כהגדרתם בסעיף 77(א)</w:t>
            </w:r>
            <w:r w:rsidRPr="001A0660">
              <w:rPr>
                <w:rFonts w:hint="cs"/>
                <w:rtl/>
              </w:rPr>
              <w:t>;</w:t>
            </w:r>
          </w:p>
        </w:tc>
      </w:tr>
      <w:tr w:rsidR="006617D0" w:rsidRPr="001A0660" w14:paraId="7A3F2AB9" w14:textId="77777777">
        <w:trPr>
          <w:cantSplit/>
          <w:trHeight w:val="60"/>
        </w:trPr>
        <w:tc>
          <w:tcPr>
            <w:tcW w:w="1871" w:type="dxa"/>
          </w:tcPr>
          <w:p w14:paraId="3A476BCA" w14:textId="77777777" w:rsidR="006617D0" w:rsidRPr="001A0660" w:rsidRDefault="006617D0">
            <w:pPr>
              <w:pStyle w:val="TableSideHeading"/>
            </w:pPr>
          </w:p>
        </w:tc>
        <w:tc>
          <w:tcPr>
            <w:tcW w:w="624" w:type="dxa"/>
          </w:tcPr>
          <w:p w14:paraId="60FEFD9F" w14:textId="77777777" w:rsidR="006617D0" w:rsidRPr="001A0660" w:rsidRDefault="006617D0">
            <w:pPr>
              <w:pStyle w:val="TableText"/>
            </w:pPr>
          </w:p>
        </w:tc>
        <w:tc>
          <w:tcPr>
            <w:tcW w:w="624" w:type="dxa"/>
          </w:tcPr>
          <w:p w14:paraId="3154A36A" w14:textId="77777777" w:rsidR="006617D0" w:rsidRPr="001A0660" w:rsidRDefault="006617D0">
            <w:pPr>
              <w:pStyle w:val="TableText"/>
            </w:pPr>
          </w:p>
        </w:tc>
        <w:tc>
          <w:tcPr>
            <w:tcW w:w="624" w:type="dxa"/>
          </w:tcPr>
          <w:p w14:paraId="170DED81" w14:textId="77777777" w:rsidR="006617D0" w:rsidRPr="001A0660" w:rsidRDefault="006617D0">
            <w:pPr>
              <w:pStyle w:val="TableText"/>
            </w:pPr>
          </w:p>
        </w:tc>
        <w:tc>
          <w:tcPr>
            <w:tcW w:w="624" w:type="dxa"/>
          </w:tcPr>
          <w:p w14:paraId="0C5D3918" w14:textId="77777777" w:rsidR="006617D0" w:rsidRPr="001A0660" w:rsidRDefault="006617D0">
            <w:pPr>
              <w:pStyle w:val="TableText"/>
            </w:pPr>
          </w:p>
        </w:tc>
        <w:tc>
          <w:tcPr>
            <w:tcW w:w="624" w:type="dxa"/>
          </w:tcPr>
          <w:p w14:paraId="6F640F47" w14:textId="77777777" w:rsidR="006617D0" w:rsidRPr="001A0660" w:rsidRDefault="006617D0">
            <w:pPr>
              <w:pStyle w:val="TableText"/>
            </w:pPr>
          </w:p>
        </w:tc>
        <w:tc>
          <w:tcPr>
            <w:tcW w:w="4650" w:type="dxa"/>
            <w:gridSpan w:val="3"/>
          </w:tcPr>
          <w:p w14:paraId="6CAB1485" w14:textId="77777777" w:rsidR="006617D0" w:rsidRPr="001A0660" w:rsidRDefault="006617D0" w:rsidP="006617D0">
            <w:pPr>
              <w:pStyle w:val="TableBlockOutdent"/>
              <w:rPr>
                <w:rtl/>
              </w:rPr>
            </w:pPr>
            <w:r w:rsidRPr="001A0660">
              <w:rPr>
                <w:rtl/>
              </w:rPr>
              <w:t xml:space="preserve">"רווחים נצברים חייבים" – </w:t>
            </w:r>
            <w:r w:rsidR="00C3721C">
              <w:rPr>
                <w:rFonts w:hint="cs"/>
                <w:rtl/>
              </w:rPr>
              <w:t xml:space="preserve">ההפרש שבין </w:t>
            </w:r>
            <w:r w:rsidRPr="001A0660">
              <w:rPr>
                <w:rtl/>
              </w:rPr>
              <w:t xml:space="preserve">רווחים נצברים </w:t>
            </w:r>
            <w:r w:rsidR="00C3721C">
              <w:rPr>
                <w:rFonts w:hint="cs"/>
                <w:rtl/>
              </w:rPr>
              <w:t>לבין</w:t>
            </w:r>
            <w:r w:rsidR="00C3721C" w:rsidRPr="001A0660">
              <w:rPr>
                <w:rtl/>
              </w:rPr>
              <w:t xml:space="preserve"> </w:t>
            </w:r>
            <w:r w:rsidRPr="001A0660">
              <w:rPr>
                <w:rtl/>
              </w:rPr>
              <w:t xml:space="preserve">הסכום המתקבל </w:t>
            </w:r>
            <w:r w:rsidR="00C3721C" w:rsidRPr="001A0660">
              <w:rPr>
                <w:rtl/>
              </w:rPr>
              <w:t>מ</w:t>
            </w:r>
            <w:r w:rsidR="00C3721C">
              <w:rPr>
                <w:rFonts w:hint="cs"/>
                <w:rtl/>
              </w:rPr>
              <w:t>צירוף</w:t>
            </w:r>
            <w:r w:rsidR="00C3721C" w:rsidRPr="001A0660">
              <w:rPr>
                <w:rtl/>
              </w:rPr>
              <w:t xml:space="preserve"> </w:t>
            </w:r>
            <w:r w:rsidRPr="001A0660">
              <w:rPr>
                <w:rtl/>
              </w:rPr>
              <w:t>כל אלה:</w:t>
            </w:r>
          </w:p>
        </w:tc>
      </w:tr>
      <w:tr w:rsidR="006617D0" w:rsidRPr="001A0660" w14:paraId="745DFEB5" w14:textId="77777777">
        <w:trPr>
          <w:cantSplit/>
          <w:trHeight w:val="60"/>
        </w:trPr>
        <w:tc>
          <w:tcPr>
            <w:tcW w:w="1871" w:type="dxa"/>
          </w:tcPr>
          <w:p w14:paraId="6456F783" w14:textId="77777777" w:rsidR="006617D0" w:rsidRPr="001A0660" w:rsidRDefault="006617D0">
            <w:pPr>
              <w:pStyle w:val="TableSideHeading"/>
            </w:pPr>
          </w:p>
        </w:tc>
        <w:tc>
          <w:tcPr>
            <w:tcW w:w="624" w:type="dxa"/>
          </w:tcPr>
          <w:p w14:paraId="7762439D" w14:textId="77777777" w:rsidR="006617D0" w:rsidRPr="001A0660" w:rsidRDefault="006617D0">
            <w:pPr>
              <w:pStyle w:val="TableText"/>
            </w:pPr>
          </w:p>
        </w:tc>
        <w:tc>
          <w:tcPr>
            <w:tcW w:w="624" w:type="dxa"/>
          </w:tcPr>
          <w:p w14:paraId="0FC8D4E0" w14:textId="77777777" w:rsidR="006617D0" w:rsidRPr="001A0660" w:rsidRDefault="006617D0">
            <w:pPr>
              <w:pStyle w:val="TableText"/>
            </w:pPr>
          </w:p>
        </w:tc>
        <w:tc>
          <w:tcPr>
            <w:tcW w:w="624" w:type="dxa"/>
          </w:tcPr>
          <w:p w14:paraId="269B4C26" w14:textId="77777777" w:rsidR="006617D0" w:rsidRPr="001A0660" w:rsidRDefault="006617D0">
            <w:pPr>
              <w:pStyle w:val="TableText"/>
            </w:pPr>
          </w:p>
        </w:tc>
        <w:tc>
          <w:tcPr>
            <w:tcW w:w="624" w:type="dxa"/>
          </w:tcPr>
          <w:p w14:paraId="2EC51F2E" w14:textId="77777777" w:rsidR="006617D0" w:rsidRPr="001A0660" w:rsidRDefault="006617D0">
            <w:pPr>
              <w:pStyle w:val="TableText"/>
            </w:pPr>
          </w:p>
        </w:tc>
        <w:tc>
          <w:tcPr>
            <w:tcW w:w="624" w:type="dxa"/>
          </w:tcPr>
          <w:p w14:paraId="5B49E53A" w14:textId="77777777" w:rsidR="006617D0" w:rsidRPr="001A0660" w:rsidRDefault="006617D0">
            <w:pPr>
              <w:pStyle w:val="TableText"/>
            </w:pPr>
          </w:p>
        </w:tc>
        <w:tc>
          <w:tcPr>
            <w:tcW w:w="624" w:type="dxa"/>
          </w:tcPr>
          <w:p w14:paraId="3CEBC0C8" w14:textId="77777777" w:rsidR="006617D0" w:rsidRPr="001A0660" w:rsidRDefault="006617D0">
            <w:pPr>
              <w:pStyle w:val="TableText"/>
            </w:pPr>
          </w:p>
        </w:tc>
        <w:tc>
          <w:tcPr>
            <w:tcW w:w="4026" w:type="dxa"/>
            <w:gridSpan w:val="2"/>
          </w:tcPr>
          <w:p w14:paraId="3B4F82E9" w14:textId="77777777" w:rsidR="006617D0" w:rsidRPr="001A0660" w:rsidRDefault="006617D0" w:rsidP="006617D0">
            <w:pPr>
              <w:pStyle w:val="TableBlock"/>
              <w:numPr>
                <w:ilvl w:val="0"/>
                <w:numId w:val="33"/>
              </w:numPr>
              <w:tabs>
                <w:tab w:val="left" w:pos="624"/>
              </w:tabs>
            </w:pPr>
            <w:r w:rsidRPr="001A0660">
              <w:rPr>
                <w:rtl/>
              </w:rPr>
              <w:t>סכום הרווחים הנצברים שמקורם בהכנסה מועדפת חייבת כמשמעותה  בסעיף 51יח לחוק עידוד השקעות הון ורווחים נצברים שמקורם בהכנסה טכנולוגית של חברה מועדפת בעלת מפעל טכנולוגי כאמור בסעיף 51כו(1) לחוק האמור</w:t>
            </w:r>
            <w:r w:rsidRPr="001A0660">
              <w:rPr>
                <w:rFonts w:hint="cs"/>
                <w:rtl/>
              </w:rPr>
              <w:t>;</w:t>
            </w:r>
          </w:p>
        </w:tc>
      </w:tr>
      <w:tr w:rsidR="006617D0" w:rsidRPr="001A0660" w14:paraId="5C5AB376" w14:textId="77777777">
        <w:trPr>
          <w:cantSplit/>
          <w:trHeight w:val="60"/>
        </w:trPr>
        <w:tc>
          <w:tcPr>
            <w:tcW w:w="1871" w:type="dxa"/>
          </w:tcPr>
          <w:p w14:paraId="55014C54" w14:textId="77777777" w:rsidR="006617D0" w:rsidRPr="001A0660" w:rsidRDefault="006617D0">
            <w:pPr>
              <w:pStyle w:val="TableSideHeading"/>
            </w:pPr>
          </w:p>
        </w:tc>
        <w:tc>
          <w:tcPr>
            <w:tcW w:w="624" w:type="dxa"/>
          </w:tcPr>
          <w:p w14:paraId="2DDA25FB" w14:textId="77777777" w:rsidR="006617D0" w:rsidRPr="001A0660" w:rsidRDefault="006617D0" w:rsidP="006617D0">
            <w:pPr>
              <w:pStyle w:val="TableText"/>
            </w:pPr>
          </w:p>
        </w:tc>
        <w:tc>
          <w:tcPr>
            <w:tcW w:w="624" w:type="dxa"/>
          </w:tcPr>
          <w:p w14:paraId="24EFE481" w14:textId="77777777" w:rsidR="006617D0" w:rsidRPr="001A0660" w:rsidRDefault="006617D0">
            <w:pPr>
              <w:pStyle w:val="TableText"/>
            </w:pPr>
          </w:p>
        </w:tc>
        <w:tc>
          <w:tcPr>
            <w:tcW w:w="624" w:type="dxa"/>
          </w:tcPr>
          <w:p w14:paraId="221DE5EF" w14:textId="77777777" w:rsidR="006617D0" w:rsidRPr="001A0660" w:rsidRDefault="006617D0">
            <w:pPr>
              <w:pStyle w:val="TableText"/>
            </w:pPr>
          </w:p>
        </w:tc>
        <w:tc>
          <w:tcPr>
            <w:tcW w:w="624" w:type="dxa"/>
          </w:tcPr>
          <w:p w14:paraId="700AB6B9" w14:textId="77777777" w:rsidR="006617D0" w:rsidRPr="001A0660" w:rsidRDefault="006617D0">
            <w:pPr>
              <w:pStyle w:val="TableText"/>
            </w:pPr>
          </w:p>
        </w:tc>
        <w:tc>
          <w:tcPr>
            <w:tcW w:w="624" w:type="dxa"/>
          </w:tcPr>
          <w:p w14:paraId="6610BA2F" w14:textId="77777777" w:rsidR="006617D0" w:rsidRPr="001A0660" w:rsidRDefault="006617D0">
            <w:pPr>
              <w:pStyle w:val="TableText"/>
            </w:pPr>
          </w:p>
        </w:tc>
        <w:tc>
          <w:tcPr>
            <w:tcW w:w="624" w:type="dxa"/>
          </w:tcPr>
          <w:p w14:paraId="2AC39B54" w14:textId="77777777" w:rsidR="006617D0" w:rsidRPr="001A0660" w:rsidRDefault="006617D0">
            <w:pPr>
              <w:pStyle w:val="TableText"/>
            </w:pPr>
          </w:p>
        </w:tc>
        <w:tc>
          <w:tcPr>
            <w:tcW w:w="4026" w:type="dxa"/>
            <w:gridSpan w:val="2"/>
          </w:tcPr>
          <w:p w14:paraId="2D2AC1D4" w14:textId="77777777" w:rsidR="006617D0" w:rsidRPr="001A0660" w:rsidRDefault="006617D0" w:rsidP="006617D0">
            <w:pPr>
              <w:pStyle w:val="TableBlock"/>
              <w:numPr>
                <w:ilvl w:val="0"/>
                <w:numId w:val="33"/>
              </w:numPr>
              <w:tabs>
                <w:tab w:val="left" w:pos="624"/>
              </w:tabs>
              <w:rPr>
                <w:rtl/>
              </w:rPr>
            </w:pPr>
            <w:r w:rsidRPr="001A0660">
              <w:rPr>
                <w:rtl/>
              </w:rPr>
              <w:t>סכום הרווחים הנצברים שיוחסו להכנסתו של בעל המניות, לרבות לפי</w:t>
            </w:r>
            <w:r w:rsidRPr="001A0660">
              <w:rPr>
                <w:rFonts w:hint="cs"/>
                <w:rtl/>
              </w:rPr>
              <w:t xml:space="preserve"> </w:t>
            </w:r>
            <w:r w:rsidRPr="001A0660">
              <w:rPr>
                <w:rtl/>
              </w:rPr>
              <w:t>סעיפים 62א, 64 או 64א</w:t>
            </w:r>
            <w:r w:rsidR="0034581E" w:rsidRPr="001A0660">
              <w:rPr>
                <w:rFonts w:hint="cs"/>
                <w:rtl/>
              </w:rPr>
              <w:t>;</w:t>
            </w:r>
          </w:p>
        </w:tc>
      </w:tr>
      <w:tr w:rsidR="00640561" w:rsidRPr="001A0660" w14:paraId="2F75A15D" w14:textId="77777777">
        <w:trPr>
          <w:cantSplit/>
          <w:trHeight w:val="60"/>
        </w:trPr>
        <w:tc>
          <w:tcPr>
            <w:tcW w:w="1871" w:type="dxa"/>
          </w:tcPr>
          <w:p w14:paraId="1EA3A0B8" w14:textId="77777777" w:rsidR="00640561" w:rsidRPr="001A0660" w:rsidRDefault="00640561">
            <w:pPr>
              <w:pStyle w:val="TableSideHeading"/>
            </w:pPr>
          </w:p>
        </w:tc>
        <w:tc>
          <w:tcPr>
            <w:tcW w:w="624" w:type="dxa"/>
          </w:tcPr>
          <w:p w14:paraId="06596713" w14:textId="77777777" w:rsidR="00640561" w:rsidRPr="001A0660" w:rsidRDefault="00640561" w:rsidP="00640561">
            <w:pPr>
              <w:pStyle w:val="TableText"/>
            </w:pPr>
          </w:p>
        </w:tc>
        <w:tc>
          <w:tcPr>
            <w:tcW w:w="624" w:type="dxa"/>
          </w:tcPr>
          <w:p w14:paraId="2ED3E82B" w14:textId="77777777" w:rsidR="00640561" w:rsidRPr="001A0660" w:rsidRDefault="00640561">
            <w:pPr>
              <w:pStyle w:val="TableText"/>
            </w:pPr>
          </w:p>
        </w:tc>
        <w:tc>
          <w:tcPr>
            <w:tcW w:w="624" w:type="dxa"/>
          </w:tcPr>
          <w:p w14:paraId="127E902B" w14:textId="77777777" w:rsidR="00640561" w:rsidRPr="001A0660" w:rsidRDefault="00640561">
            <w:pPr>
              <w:pStyle w:val="TableText"/>
            </w:pPr>
          </w:p>
        </w:tc>
        <w:tc>
          <w:tcPr>
            <w:tcW w:w="624" w:type="dxa"/>
          </w:tcPr>
          <w:p w14:paraId="1C6D6D3B" w14:textId="77777777" w:rsidR="00640561" w:rsidRPr="001A0660" w:rsidRDefault="00640561">
            <w:pPr>
              <w:pStyle w:val="TableText"/>
            </w:pPr>
          </w:p>
        </w:tc>
        <w:tc>
          <w:tcPr>
            <w:tcW w:w="624" w:type="dxa"/>
          </w:tcPr>
          <w:p w14:paraId="2D043F56" w14:textId="77777777" w:rsidR="00640561" w:rsidRPr="001A0660" w:rsidRDefault="00640561">
            <w:pPr>
              <w:pStyle w:val="TableText"/>
            </w:pPr>
          </w:p>
        </w:tc>
        <w:tc>
          <w:tcPr>
            <w:tcW w:w="624" w:type="dxa"/>
          </w:tcPr>
          <w:p w14:paraId="16FE83FC" w14:textId="77777777" w:rsidR="00640561" w:rsidRPr="001A0660" w:rsidRDefault="00640561">
            <w:pPr>
              <w:pStyle w:val="TableText"/>
            </w:pPr>
          </w:p>
        </w:tc>
        <w:tc>
          <w:tcPr>
            <w:tcW w:w="4026" w:type="dxa"/>
            <w:gridSpan w:val="2"/>
          </w:tcPr>
          <w:p w14:paraId="3D1A27CC" w14:textId="77777777" w:rsidR="00640561" w:rsidRPr="001A0660" w:rsidRDefault="00640561" w:rsidP="006617D0">
            <w:pPr>
              <w:pStyle w:val="TableBlock"/>
              <w:numPr>
                <w:ilvl w:val="0"/>
                <w:numId w:val="33"/>
              </w:numPr>
              <w:tabs>
                <w:tab w:val="left" w:pos="624"/>
              </w:tabs>
              <w:rPr>
                <w:rtl/>
              </w:rPr>
            </w:pPr>
            <w:r w:rsidRPr="001A0660">
              <w:rPr>
                <w:rtl/>
              </w:rPr>
              <w:t>סכום הרווחים הנצברים שמקורם בפעילות של מוסד כספי כהגדרתו בחוק מס ערך מוסף</w:t>
            </w:r>
            <w:r w:rsidR="00C3721C">
              <w:rPr>
                <w:rFonts w:hint="cs"/>
                <w:rtl/>
              </w:rPr>
              <w:t>.</w:t>
            </w:r>
          </w:p>
        </w:tc>
      </w:tr>
      <w:tr w:rsidR="00640561" w:rsidRPr="001A0660" w14:paraId="3D778B72" w14:textId="77777777">
        <w:trPr>
          <w:cantSplit/>
          <w:trHeight w:val="60"/>
        </w:trPr>
        <w:tc>
          <w:tcPr>
            <w:tcW w:w="1871" w:type="dxa"/>
          </w:tcPr>
          <w:p w14:paraId="4EBC47F9" w14:textId="77777777" w:rsidR="00640561" w:rsidRPr="001A0660" w:rsidRDefault="00640561">
            <w:pPr>
              <w:pStyle w:val="TableSideHeading"/>
              <w:keepLines w:val="0"/>
            </w:pPr>
          </w:p>
        </w:tc>
        <w:tc>
          <w:tcPr>
            <w:tcW w:w="624" w:type="dxa"/>
          </w:tcPr>
          <w:p w14:paraId="2821F779" w14:textId="77777777" w:rsidR="00640561" w:rsidRPr="001A0660" w:rsidRDefault="00640561">
            <w:pPr>
              <w:pStyle w:val="TableText"/>
              <w:keepLines w:val="0"/>
            </w:pPr>
          </w:p>
        </w:tc>
        <w:tc>
          <w:tcPr>
            <w:tcW w:w="1872" w:type="dxa"/>
            <w:gridSpan w:val="3"/>
          </w:tcPr>
          <w:p w14:paraId="3A1F9288" w14:textId="77777777" w:rsidR="00640561" w:rsidRPr="001A0660" w:rsidRDefault="00640561">
            <w:pPr>
              <w:pStyle w:val="TableInnerSideHeading"/>
            </w:pPr>
            <w:r w:rsidRPr="001A0660">
              <w:rPr>
                <w:rFonts w:hint="cs"/>
                <w:rtl/>
              </w:rPr>
              <w:t>תוספת למס בשל רווחי חברת מעטים שלא חולקו</w:t>
            </w:r>
          </w:p>
        </w:tc>
        <w:tc>
          <w:tcPr>
            <w:tcW w:w="624" w:type="dxa"/>
          </w:tcPr>
          <w:p w14:paraId="6845405F" w14:textId="77777777" w:rsidR="00640561" w:rsidRPr="001A0660" w:rsidRDefault="00640561">
            <w:pPr>
              <w:pStyle w:val="TableText"/>
            </w:pPr>
            <w:r w:rsidRPr="001A0660">
              <w:rPr>
                <w:rFonts w:hint="cs"/>
                <w:rtl/>
              </w:rPr>
              <w:t>81ב</w:t>
            </w:r>
          </w:p>
        </w:tc>
        <w:tc>
          <w:tcPr>
            <w:tcW w:w="4650" w:type="dxa"/>
            <w:gridSpan w:val="3"/>
          </w:tcPr>
          <w:p w14:paraId="43C37BF7" w14:textId="77777777" w:rsidR="00640561" w:rsidRPr="001A0660" w:rsidRDefault="00640561" w:rsidP="00640561">
            <w:pPr>
              <w:pStyle w:val="TableBlock"/>
              <w:numPr>
                <w:ilvl w:val="0"/>
                <w:numId w:val="34"/>
              </w:numPr>
              <w:tabs>
                <w:tab w:val="left" w:pos="624"/>
              </w:tabs>
            </w:pPr>
            <w:r w:rsidRPr="001A0660">
              <w:rPr>
                <w:rtl/>
              </w:rPr>
              <w:t>לכל שנת מס, למעט שנות מס שהתקיים בהן האמור בסעיף קטן (ב), חברת מעטים תהיה חייבת בתשלום תוספת למס בשיעור של 2% מסכ</w:t>
            </w:r>
            <w:r w:rsidR="00F77667" w:rsidRPr="001A0660">
              <w:rPr>
                <w:rFonts w:hint="cs"/>
                <w:rtl/>
              </w:rPr>
              <w:t>ום ה</w:t>
            </w:r>
            <w:r w:rsidRPr="001A0660">
              <w:rPr>
                <w:rtl/>
              </w:rPr>
              <w:t xml:space="preserve">רווחים העודפים של חברת </w:t>
            </w:r>
            <w:r w:rsidR="00F77667" w:rsidRPr="001A0660">
              <w:rPr>
                <w:rFonts w:hint="cs"/>
                <w:rtl/>
              </w:rPr>
              <w:t>ה</w:t>
            </w:r>
            <w:r w:rsidRPr="001A0660">
              <w:rPr>
                <w:rtl/>
              </w:rPr>
              <w:t>מעטים, כפי שחושבו לפי סעיף 81ג</w:t>
            </w:r>
            <w:r w:rsidR="00F77667" w:rsidRPr="001A0660">
              <w:rPr>
                <w:rFonts w:hint="cs"/>
                <w:rtl/>
              </w:rPr>
              <w:t>,</w:t>
            </w:r>
            <w:r w:rsidR="00100984" w:rsidRPr="001A0660">
              <w:rPr>
                <w:rFonts w:hint="cs"/>
                <w:rtl/>
              </w:rPr>
              <w:t xml:space="preserve"> </w:t>
            </w:r>
            <w:r w:rsidR="00100984" w:rsidRPr="001A0660">
              <w:rPr>
                <w:rFonts w:hint="eastAsia"/>
                <w:rtl/>
              </w:rPr>
              <w:t>לאחר</w:t>
            </w:r>
            <w:r w:rsidR="00100984" w:rsidRPr="001A0660">
              <w:rPr>
                <w:rtl/>
              </w:rPr>
              <w:t xml:space="preserve"> </w:t>
            </w:r>
            <w:r w:rsidR="00100984" w:rsidRPr="001A0660">
              <w:rPr>
                <w:rFonts w:hint="eastAsia"/>
                <w:rtl/>
              </w:rPr>
              <w:t>שנוכה</w:t>
            </w:r>
            <w:r w:rsidR="00100984" w:rsidRPr="001A0660">
              <w:rPr>
                <w:rtl/>
              </w:rPr>
              <w:t xml:space="preserve"> </w:t>
            </w:r>
            <w:r w:rsidR="00100984" w:rsidRPr="001A0660">
              <w:rPr>
                <w:rFonts w:hint="eastAsia"/>
                <w:rtl/>
              </w:rPr>
              <w:t>מהן</w:t>
            </w:r>
            <w:r w:rsidR="00100984" w:rsidRPr="001A0660">
              <w:rPr>
                <w:rtl/>
              </w:rPr>
              <w:t xml:space="preserve"> </w:t>
            </w:r>
            <w:r w:rsidR="00100984" w:rsidRPr="001A0660">
              <w:rPr>
                <w:rFonts w:hint="eastAsia"/>
                <w:rtl/>
              </w:rPr>
              <w:t>סכום</w:t>
            </w:r>
            <w:r w:rsidR="00100984" w:rsidRPr="001A0660">
              <w:rPr>
                <w:rtl/>
              </w:rPr>
              <w:t xml:space="preserve"> </w:t>
            </w:r>
            <w:r w:rsidR="00100984" w:rsidRPr="001A0660">
              <w:rPr>
                <w:rFonts w:hint="eastAsia"/>
                <w:rtl/>
              </w:rPr>
              <w:t>דיבידנד</w:t>
            </w:r>
            <w:r w:rsidR="00100984" w:rsidRPr="001A0660">
              <w:rPr>
                <w:rtl/>
              </w:rPr>
              <w:t xml:space="preserve"> </w:t>
            </w:r>
            <w:r w:rsidR="00100984" w:rsidRPr="001A0660">
              <w:rPr>
                <w:rFonts w:hint="eastAsia"/>
                <w:rtl/>
              </w:rPr>
              <w:t>שחולק</w:t>
            </w:r>
            <w:r w:rsidR="00100984" w:rsidRPr="001A0660">
              <w:rPr>
                <w:rtl/>
              </w:rPr>
              <w:t xml:space="preserve"> </w:t>
            </w:r>
            <w:r w:rsidR="00100984" w:rsidRPr="001A0660">
              <w:rPr>
                <w:rFonts w:hint="eastAsia"/>
                <w:rtl/>
              </w:rPr>
              <w:t>בשנת</w:t>
            </w:r>
            <w:r w:rsidR="00100984" w:rsidRPr="001A0660">
              <w:rPr>
                <w:rtl/>
              </w:rPr>
              <w:t xml:space="preserve"> </w:t>
            </w:r>
            <w:r w:rsidR="00100984" w:rsidRPr="001A0660">
              <w:rPr>
                <w:rFonts w:hint="eastAsia"/>
                <w:rtl/>
              </w:rPr>
              <w:t>המס</w:t>
            </w:r>
            <w:r w:rsidR="00C3721C">
              <w:rPr>
                <w:rFonts w:hint="cs"/>
                <w:rtl/>
              </w:rPr>
              <w:t>.</w:t>
            </w:r>
          </w:p>
        </w:tc>
      </w:tr>
      <w:tr w:rsidR="00640561" w:rsidRPr="001A0660" w14:paraId="142BA519" w14:textId="77777777">
        <w:trPr>
          <w:cantSplit/>
          <w:trHeight w:val="60"/>
        </w:trPr>
        <w:tc>
          <w:tcPr>
            <w:tcW w:w="1871" w:type="dxa"/>
          </w:tcPr>
          <w:p w14:paraId="2E2D70A7" w14:textId="77777777" w:rsidR="00640561" w:rsidRPr="001A0660" w:rsidRDefault="00640561">
            <w:pPr>
              <w:pStyle w:val="TableSideHeading"/>
            </w:pPr>
          </w:p>
        </w:tc>
        <w:tc>
          <w:tcPr>
            <w:tcW w:w="624" w:type="dxa"/>
          </w:tcPr>
          <w:p w14:paraId="20478126" w14:textId="77777777" w:rsidR="00640561" w:rsidRPr="001A0660" w:rsidRDefault="00640561">
            <w:pPr>
              <w:pStyle w:val="TableText"/>
            </w:pPr>
          </w:p>
        </w:tc>
        <w:tc>
          <w:tcPr>
            <w:tcW w:w="624" w:type="dxa"/>
          </w:tcPr>
          <w:p w14:paraId="72325768" w14:textId="77777777" w:rsidR="00640561" w:rsidRPr="001A0660" w:rsidRDefault="00640561">
            <w:pPr>
              <w:pStyle w:val="TableText"/>
            </w:pPr>
          </w:p>
        </w:tc>
        <w:tc>
          <w:tcPr>
            <w:tcW w:w="624" w:type="dxa"/>
          </w:tcPr>
          <w:p w14:paraId="1050315D" w14:textId="77777777" w:rsidR="00640561" w:rsidRPr="001A0660" w:rsidRDefault="00640561">
            <w:pPr>
              <w:pStyle w:val="TableText"/>
            </w:pPr>
          </w:p>
        </w:tc>
        <w:tc>
          <w:tcPr>
            <w:tcW w:w="624" w:type="dxa"/>
          </w:tcPr>
          <w:p w14:paraId="6F826492" w14:textId="77777777" w:rsidR="00640561" w:rsidRPr="001A0660" w:rsidRDefault="00640561">
            <w:pPr>
              <w:pStyle w:val="TableText"/>
            </w:pPr>
          </w:p>
        </w:tc>
        <w:tc>
          <w:tcPr>
            <w:tcW w:w="624" w:type="dxa"/>
          </w:tcPr>
          <w:p w14:paraId="7859202F" w14:textId="77777777" w:rsidR="00640561" w:rsidRPr="001A0660" w:rsidRDefault="00640561">
            <w:pPr>
              <w:pStyle w:val="TableText"/>
            </w:pPr>
          </w:p>
        </w:tc>
        <w:tc>
          <w:tcPr>
            <w:tcW w:w="4650" w:type="dxa"/>
            <w:gridSpan w:val="3"/>
          </w:tcPr>
          <w:p w14:paraId="0E34A1B0" w14:textId="77777777" w:rsidR="00640561" w:rsidRPr="001A0660" w:rsidRDefault="00640561" w:rsidP="00640561">
            <w:pPr>
              <w:pStyle w:val="TableBlock"/>
              <w:numPr>
                <w:ilvl w:val="0"/>
                <w:numId w:val="34"/>
              </w:numPr>
              <w:tabs>
                <w:tab w:val="left" w:pos="624"/>
              </w:tabs>
            </w:pPr>
            <w:r w:rsidRPr="001A0660">
              <w:rPr>
                <w:rtl/>
              </w:rPr>
              <w:t>לא תשולם תוספת מס לשנת מס שבה</w:t>
            </w:r>
            <w:r w:rsidR="00941ACA" w:rsidRPr="001A0660">
              <w:rPr>
                <w:rFonts w:hint="cs"/>
                <w:rtl/>
              </w:rPr>
              <w:t xml:space="preserve"> התקיים אחד מאלה:</w:t>
            </w:r>
            <w:r w:rsidRPr="001A0660">
              <w:rPr>
                <w:rtl/>
              </w:rPr>
              <w:t xml:space="preserve"> </w:t>
            </w:r>
          </w:p>
        </w:tc>
      </w:tr>
      <w:tr w:rsidR="00640561" w:rsidRPr="001A0660" w14:paraId="32C1DC0E" w14:textId="77777777">
        <w:trPr>
          <w:cantSplit/>
          <w:trHeight w:val="60"/>
        </w:trPr>
        <w:tc>
          <w:tcPr>
            <w:tcW w:w="1871" w:type="dxa"/>
          </w:tcPr>
          <w:p w14:paraId="6969607C" w14:textId="77777777" w:rsidR="00640561" w:rsidRPr="001A0660" w:rsidRDefault="00640561">
            <w:pPr>
              <w:pStyle w:val="TableSideHeading"/>
            </w:pPr>
          </w:p>
        </w:tc>
        <w:tc>
          <w:tcPr>
            <w:tcW w:w="624" w:type="dxa"/>
          </w:tcPr>
          <w:p w14:paraId="0AA75BED" w14:textId="77777777" w:rsidR="00640561" w:rsidRPr="001A0660" w:rsidRDefault="00640561">
            <w:pPr>
              <w:pStyle w:val="TableText"/>
            </w:pPr>
          </w:p>
        </w:tc>
        <w:tc>
          <w:tcPr>
            <w:tcW w:w="624" w:type="dxa"/>
          </w:tcPr>
          <w:p w14:paraId="517E55A2" w14:textId="77777777" w:rsidR="00640561" w:rsidRPr="001A0660" w:rsidRDefault="00640561">
            <w:pPr>
              <w:pStyle w:val="TableText"/>
            </w:pPr>
          </w:p>
        </w:tc>
        <w:tc>
          <w:tcPr>
            <w:tcW w:w="624" w:type="dxa"/>
          </w:tcPr>
          <w:p w14:paraId="76A80D14" w14:textId="77777777" w:rsidR="00640561" w:rsidRPr="001A0660" w:rsidRDefault="00640561">
            <w:pPr>
              <w:pStyle w:val="TableText"/>
            </w:pPr>
          </w:p>
        </w:tc>
        <w:tc>
          <w:tcPr>
            <w:tcW w:w="624" w:type="dxa"/>
          </w:tcPr>
          <w:p w14:paraId="280AA151" w14:textId="77777777" w:rsidR="00640561" w:rsidRPr="001A0660" w:rsidRDefault="00640561">
            <w:pPr>
              <w:pStyle w:val="TableText"/>
            </w:pPr>
          </w:p>
        </w:tc>
        <w:tc>
          <w:tcPr>
            <w:tcW w:w="624" w:type="dxa"/>
          </w:tcPr>
          <w:p w14:paraId="3ADB6D61" w14:textId="77777777" w:rsidR="00640561" w:rsidRPr="001A0660" w:rsidRDefault="00640561">
            <w:pPr>
              <w:pStyle w:val="TableText"/>
            </w:pPr>
          </w:p>
        </w:tc>
        <w:tc>
          <w:tcPr>
            <w:tcW w:w="624" w:type="dxa"/>
          </w:tcPr>
          <w:p w14:paraId="0EFFEA9F" w14:textId="77777777" w:rsidR="00640561" w:rsidRPr="001A0660" w:rsidRDefault="00640561">
            <w:pPr>
              <w:pStyle w:val="TableText"/>
            </w:pPr>
          </w:p>
        </w:tc>
        <w:tc>
          <w:tcPr>
            <w:tcW w:w="4026" w:type="dxa"/>
            <w:gridSpan w:val="2"/>
          </w:tcPr>
          <w:p w14:paraId="0AD89B13" w14:textId="77777777" w:rsidR="00640561" w:rsidRPr="001A0660" w:rsidRDefault="00640561" w:rsidP="00640561">
            <w:pPr>
              <w:pStyle w:val="TableBlock"/>
              <w:numPr>
                <w:ilvl w:val="0"/>
                <w:numId w:val="35"/>
              </w:numPr>
              <w:tabs>
                <w:tab w:val="left" w:pos="624"/>
              </w:tabs>
            </w:pPr>
            <w:bookmarkStart w:id="23" w:name="_Hlk178278477"/>
            <w:r w:rsidRPr="001A0660">
              <w:rPr>
                <w:rFonts w:hint="cs"/>
                <w:rtl/>
              </w:rPr>
              <w:t>סכום הפסדי חברת המעטים</w:t>
            </w:r>
            <w:r w:rsidR="00467DED" w:rsidRPr="001A0660">
              <w:rPr>
                <w:rFonts w:hint="cs"/>
                <w:rtl/>
              </w:rPr>
              <w:t xml:space="preserve"> בשנת המס</w:t>
            </w:r>
            <w:r w:rsidR="00941ACA" w:rsidRPr="001A0660">
              <w:rPr>
                <w:rFonts w:hint="cs"/>
                <w:rtl/>
              </w:rPr>
              <w:t xml:space="preserve"> לפי סעיף 28, </w:t>
            </w:r>
            <w:r w:rsidR="00C9048E" w:rsidRPr="001A0660">
              <w:rPr>
                <w:rFonts w:hint="cs"/>
                <w:rtl/>
              </w:rPr>
              <w:t>ו-</w:t>
            </w:r>
            <w:r w:rsidR="00941ACA" w:rsidRPr="001A0660">
              <w:rPr>
                <w:rFonts w:hint="cs"/>
                <w:rtl/>
              </w:rPr>
              <w:t>29, עולה על 20% מסכום הרווחים הצבורים של חברת המעטים בשנת המס הקודמת</w:t>
            </w:r>
            <w:r w:rsidRPr="001A0660">
              <w:rPr>
                <w:rFonts w:hint="cs"/>
                <w:rtl/>
              </w:rPr>
              <w:t>;</w:t>
            </w:r>
            <w:bookmarkEnd w:id="23"/>
          </w:p>
        </w:tc>
      </w:tr>
      <w:tr w:rsidR="00640561" w:rsidRPr="001A0660" w14:paraId="048880A2" w14:textId="77777777">
        <w:trPr>
          <w:cantSplit/>
          <w:trHeight w:val="60"/>
        </w:trPr>
        <w:tc>
          <w:tcPr>
            <w:tcW w:w="1871" w:type="dxa"/>
          </w:tcPr>
          <w:p w14:paraId="5223C8BF" w14:textId="77777777" w:rsidR="00640561" w:rsidRPr="001A0660" w:rsidRDefault="00640561">
            <w:pPr>
              <w:pStyle w:val="TableSideHeading"/>
            </w:pPr>
          </w:p>
        </w:tc>
        <w:tc>
          <w:tcPr>
            <w:tcW w:w="624" w:type="dxa"/>
          </w:tcPr>
          <w:p w14:paraId="41D9220D" w14:textId="77777777" w:rsidR="00640561" w:rsidRPr="001A0660" w:rsidRDefault="00640561" w:rsidP="00640561">
            <w:pPr>
              <w:pStyle w:val="TableText"/>
            </w:pPr>
          </w:p>
        </w:tc>
        <w:tc>
          <w:tcPr>
            <w:tcW w:w="624" w:type="dxa"/>
          </w:tcPr>
          <w:p w14:paraId="41FC1E52" w14:textId="77777777" w:rsidR="00640561" w:rsidRPr="001A0660" w:rsidRDefault="00640561">
            <w:pPr>
              <w:pStyle w:val="TableText"/>
            </w:pPr>
          </w:p>
        </w:tc>
        <w:tc>
          <w:tcPr>
            <w:tcW w:w="624" w:type="dxa"/>
          </w:tcPr>
          <w:p w14:paraId="00240237" w14:textId="77777777" w:rsidR="00640561" w:rsidRPr="001A0660" w:rsidRDefault="00640561">
            <w:pPr>
              <w:pStyle w:val="TableText"/>
            </w:pPr>
          </w:p>
        </w:tc>
        <w:tc>
          <w:tcPr>
            <w:tcW w:w="624" w:type="dxa"/>
          </w:tcPr>
          <w:p w14:paraId="0075A3F8" w14:textId="77777777" w:rsidR="00640561" w:rsidRPr="001A0660" w:rsidRDefault="00640561">
            <w:pPr>
              <w:pStyle w:val="TableText"/>
            </w:pPr>
          </w:p>
        </w:tc>
        <w:tc>
          <w:tcPr>
            <w:tcW w:w="624" w:type="dxa"/>
          </w:tcPr>
          <w:p w14:paraId="3C20061C" w14:textId="77777777" w:rsidR="00640561" w:rsidRPr="001A0660" w:rsidRDefault="00640561">
            <w:pPr>
              <w:pStyle w:val="TableText"/>
            </w:pPr>
          </w:p>
        </w:tc>
        <w:tc>
          <w:tcPr>
            <w:tcW w:w="624" w:type="dxa"/>
          </w:tcPr>
          <w:p w14:paraId="33973E0C" w14:textId="77777777" w:rsidR="00640561" w:rsidRPr="001A0660" w:rsidRDefault="00640561">
            <w:pPr>
              <w:pStyle w:val="TableText"/>
            </w:pPr>
          </w:p>
        </w:tc>
        <w:tc>
          <w:tcPr>
            <w:tcW w:w="4026" w:type="dxa"/>
            <w:gridSpan w:val="2"/>
          </w:tcPr>
          <w:p w14:paraId="4C34114C" w14:textId="77777777" w:rsidR="00640561" w:rsidRPr="001A0660" w:rsidRDefault="00640561" w:rsidP="00640561">
            <w:pPr>
              <w:pStyle w:val="TableBlock"/>
              <w:numPr>
                <w:ilvl w:val="0"/>
                <w:numId w:val="35"/>
              </w:numPr>
              <w:tabs>
                <w:tab w:val="left" w:pos="624"/>
              </w:tabs>
              <w:rPr>
                <w:rtl/>
              </w:rPr>
            </w:pPr>
            <w:bookmarkStart w:id="24" w:name="_Hlk178278496"/>
            <w:r w:rsidRPr="001A0660">
              <w:rPr>
                <w:rtl/>
              </w:rPr>
              <w:t>סכום הדיבידנדים שחילקה</w:t>
            </w:r>
            <w:r w:rsidR="00921703" w:rsidRPr="001A0660">
              <w:rPr>
                <w:rFonts w:hint="cs"/>
                <w:rtl/>
              </w:rPr>
              <w:t xml:space="preserve"> חברת המעטים</w:t>
            </w:r>
            <w:r w:rsidRPr="001A0660">
              <w:rPr>
                <w:rtl/>
              </w:rPr>
              <w:t xml:space="preserve"> לבעלי מניותיה</w:t>
            </w:r>
            <w:r w:rsidR="00921703" w:rsidRPr="001A0660">
              <w:rPr>
                <w:rFonts w:hint="cs"/>
                <w:rtl/>
              </w:rPr>
              <w:t>,</w:t>
            </w:r>
            <w:r w:rsidRPr="001A0660">
              <w:rPr>
                <w:rtl/>
              </w:rPr>
              <w:t xml:space="preserve"> למעט דיבידנד שלא נכלל בהכנסת מקבל הדיבידנד בשל הוראות סעיף 126(ב)</w:t>
            </w:r>
            <w:r w:rsidR="00941ACA" w:rsidRPr="001A0660">
              <w:rPr>
                <w:rFonts w:hint="cs"/>
                <w:rtl/>
              </w:rPr>
              <w:t>, עולה על 60% מסכום הרווחים העודפים של חברת המעטים בסוף שנת המס הקודמת</w:t>
            </w:r>
            <w:r w:rsidR="00C3721C">
              <w:rPr>
                <w:rFonts w:hint="cs"/>
                <w:rtl/>
              </w:rPr>
              <w:t>.</w:t>
            </w:r>
            <w:bookmarkEnd w:id="24"/>
          </w:p>
        </w:tc>
      </w:tr>
      <w:tr w:rsidR="00921703" w:rsidRPr="001A0660" w14:paraId="3562EB11" w14:textId="77777777">
        <w:trPr>
          <w:cantSplit/>
          <w:trHeight w:val="60"/>
        </w:trPr>
        <w:tc>
          <w:tcPr>
            <w:tcW w:w="1871" w:type="dxa"/>
          </w:tcPr>
          <w:p w14:paraId="03BB692C" w14:textId="77777777" w:rsidR="00921703" w:rsidRPr="001A0660" w:rsidRDefault="00921703">
            <w:pPr>
              <w:pStyle w:val="TableSideHeading"/>
              <w:keepLines w:val="0"/>
            </w:pPr>
          </w:p>
        </w:tc>
        <w:tc>
          <w:tcPr>
            <w:tcW w:w="624" w:type="dxa"/>
          </w:tcPr>
          <w:p w14:paraId="47BE77CE" w14:textId="77777777" w:rsidR="00921703" w:rsidRPr="001A0660" w:rsidRDefault="00921703">
            <w:pPr>
              <w:pStyle w:val="TableText"/>
              <w:keepLines w:val="0"/>
            </w:pPr>
          </w:p>
        </w:tc>
        <w:tc>
          <w:tcPr>
            <w:tcW w:w="1872" w:type="dxa"/>
            <w:gridSpan w:val="3"/>
          </w:tcPr>
          <w:p w14:paraId="7106E3DD" w14:textId="77777777" w:rsidR="00921703" w:rsidRPr="001A0660" w:rsidRDefault="00921703">
            <w:pPr>
              <w:pStyle w:val="TableInnerSideHeading"/>
            </w:pPr>
            <w:r w:rsidRPr="001A0660">
              <w:rPr>
                <w:rFonts w:hint="cs"/>
                <w:rtl/>
              </w:rPr>
              <w:t>חישוב הרווחים העודפים</w:t>
            </w:r>
          </w:p>
        </w:tc>
        <w:tc>
          <w:tcPr>
            <w:tcW w:w="624" w:type="dxa"/>
          </w:tcPr>
          <w:p w14:paraId="306080CF" w14:textId="77777777" w:rsidR="00921703" w:rsidRPr="001A0660" w:rsidRDefault="00921703">
            <w:pPr>
              <w:pStyle w:val="TableText"/>
            </w:pPr>
            <w:r w:rsidRPr="001A0660">
              <w:rPr>
                <w:rFonts w:hint="cs"/>
                <w:rtl/>
              </w:rPr>
              <w:t>81ג</w:t>
            </w:r>
          </w:p>
        </w:tc>
        <w:tc>
          <w:tcPr>
            <w:tcW w:w="4650" w:type="dxa"/>
            <w:gridSpan w:val="3"/>
          </w:tcPr>
          <w:p w14:paraId="013A51DB" w14:textId="77777777" w:rsidR="00921703" w:rsidRPr="001A0660" w:rsidRDefault="00921703" w:rsidP="00662CC1">
            <w:pPr>
              <w:pStyle w:val="TableBlock"/>
              <w:numPr>
                <w:ilvl w:val="0"/>
                <w:numId w:val="39"/>
              </w:numPr>
              <w:tabs>
                <w:tab w:val="left" w:pos="624"/>
              </w:tabs>
            </w:pPr>
            <w:r w:rsidRPr="001A0660">
              <w:rPr>
                <w:rtl/>
              </w:rPr>
              <w:t>סכום הרווחים העודפים יחושב, לגבי כל שנת מס, בתום אותה שנה, כ</w:t>
            </w:r>
            <w:r w:rsidR="00475A49">
              <w:rPr>
                <w:rFonts w:hint="cs"/>
                <w:rtl/>
              </w:rPr>
              <w:t xml:space="preserve">הפרש שבין </w:t>
            </w:r>
            <w:r w:rsidRPr="001A0660">
              <w:rPr>
                <w:rtl/>
              </w:rPr>
              <w:t xml:space="preserve">סכום הרווחים הנצברים החייבים בתום שנת המס הקודמת </w:t>
            </w:r>
            <w:r w:rsidR="00475A49">
              <w:rPr>
                <w:rFonts w:hint="cs"/>
                <w:rtl/>
              </w:rPr>
              <w:t>לבין</w:t>
            </w:r>
            <w:r w:rsidR="00475A49" w:rsidRPr="001A0660">
              <w:rPr>
                <w:rtl/>
              </w:rPr>
              <w:t xml:space="preserve"> </w:t>
            </w:r>
            <w:r w:rsidR="00475A49">
              <w:rPr>
                <w:rFonts w:hint="cs"/>
                <w:rtl/>
              </w:rPr>
              <w:t xml:space="preserve">הסכום </w:t>
            </w:r>
            <w:r w:rsidRPr="001A0660">
              <w:rPr>
                <w:rtl/>
              </w:rPr>
              <w:t xml:space="preserve">הגבוה </w:t>
            </w:r>
            <w:r w:rsidR="008C7E10" w:rsidRPr="001A0660">
              <w:rPr>
                <w:rFonts w:hint="cs"/>
                <w:rtl/>
              </w:rPr>
              <w:t>מב</w:t>
            </w:r>
            <w:r w:rsidR="00475A49">
              <w:rPr>
                <w:rFonts w:hint="cs"/>
                <w:rtl/>
              </w:rPr>
              <w:t>ין אלה</w:t>
            </w:r>
            <w:r w:rsidRPr="001A0660">
              <w:rPr>
                <w:rtl/>
              </w:rPr>
              <w:t>:</w:t>
            </w:r>
          </w:p>
        </w:tc>
      </w:tr>
      <w:tr w:rsidR="00921703" w:rsidRPr="001A0660" w14:paraId="42CBEC18" w14:textId="77777777">
        <w:trPr>
          <w:cantSplit/>
          <w:trHeight w:val="60"/>
        </w:trPr>
        <w:tc>
          <w:tcPr>
            <w:tcW w:w="1871" w:type="dxa"/>
          </w:tcPr>
          <w:p w14:paraId="2EE0C0F9" w14:textId="77777777" w:rsidR="00921703" w:rsidRPr="001A0660" w:rsidRDefault="00921703">
            <w:pPr>
              <w:pStyle w:val="TableSideHeading"/>
            </w:pPr>
          </w:p>
        </w:tc>
        <w:tc>
          <w:tcPr>
            <w:tcW w:w="624" w:type="dxa"/>
          </w:tcPr>
          <w:p w14:paraId="7F57CE92" w14:textId="77777777" w:rsidR="00921703" w:rsidRPr="001A0660" w:rsidRDefault="00921703">
            <w:pPr>
              <w:pStyle w:val="TableText"/>
            </w:pPr>
          </w:p>
        </w:tc>
        <w:tc>
          <w:tcPr>
            <w:tcW w:w="624" w:type="dxa"/>
          </w:tcPr>
          <w:p w14:paraId="669CA721" w14:textId="77777777" w:rsidR="00921703" w:rsidRPr="001A0660" w:rsidRDefault="00921703">
            <w:pPr>
              <w:pStyle w:val="TableText"/>
            </w:pPr>
          </w:p>
        </w:tc>
        <w:tc>
          <w:tcPr>
            <w:tcW w:w="624" w:type="dxa"/>
          </w:tcPr>
          <w:p w14:paraId="22C49301" w14:textId="77777777" w:rsidR="00921703" w:rsidRPr="001A0660" w:rsidRDefault="00921703">
            <w:pPr>
              <w:pStyle w:val="TableText"/>
            </w:pPr>
          </w:p>
        </w:tc>
        <w:tc>
          <w:tcPr>
            <w:tcW w:w="624" w:type="dxa"/>
          </w:tcPr>
          <w:p w14:paraId="6A48440F" w14:textId="77777777" w:rsidR="00921703" w:rsidRPr="001A0660" w:rsidRDefault="00921703">
            <w:pPr>
              <w:pStyle w:val="TableText"/>
            </w:pPr>
          </w:p>
        </w:tc>
        <w:tc>
          <w:tcPr>
            <w:tcW w:w="624" w:type="dxa"/>
          </w:tcPr>
          <w:p w14:paraId="7167E437" w14:textId="77777777" w:rsidR="00921703" w:rsidRPr="001A0660" w:rsidRDefault="00921703">
            <w:pPr>
              <w:pStyle w:val="TableText"/>
            </w:pPr>
          </w:p>
        </w:tc>
        <w:tc>
          <w:tcPr>
            <w:tcW w:w="624" w:type="dxa"/>
          </w:tcPr>
          <w:p w14:paraId="39AAF9FB" w14:textId="77777777" w:rsidR="00921703" w:rsidRPr="00475A49" w:rsidRDefault="00921703">
            <w:pPr>
              <w:pStyle w:val="TableText"/>
            </w:pPr>
          </w:p>
        </w:tc>
        <w:tc>
          <w:tcPr>
            <w:tcW w:w="4026" w:type="dxa"/>
            <w:gridSpan w:val="2"/>
          </w:tcPr>
          <w:p w14:paraId="6F44F084" w14:textId="77777777" w:rsidR="00921703" w:rsidRPr="001A0660" w:rsidRDefault="00921703" w:rsidP="00921703">
            <w:pPr>
              <w:pStyle w:val="TableBlock"/>
              <w:numPr>
                <w:ilvl w:val="0"/>
                <w:numId w:val="37"/>
              </w:numPr>
              <w:tabs>
                <w:tab w:val="left" w:pos="624"/>
              </w:tabs>
            </w:pPr>
            <w:r w:rsidRPr="001A0660">
              <w:rPr>
                <w:rFonts w:hint="cs"/>
                <w:rtl/>
              </w:rPr>
              <w:t xml:space="preserve">500 אלף שקלים חדשים; הייתה חבר המעטים חלק מקבוצה, הסכום האמור יחולק </w:t>
            </w:r>
            <w:r w:rsidR="006D60A1" w:rsidRPr="001A0660">
              <w:rPr>
                <w:rFonts w:hint="cs"/>
                <w:rtl/>
              </w:rPr>
              <w:t>במספר חברות הקבוצה. לעניין זה</w:t>
            </w:r>
            <w:r w:rsidR="004A2EBF" w:rsidRPr="001A0660">
              <w:rPr>
                <w:rFonts w:hint="cs"/>
                <w:rtl/>
              </w:rPr>
              <w:t>,</w:t>
            </w:r>
          </w:p>
        </w:tc>
      </w:tr>
      <w:tr w:rsidR="006D60A1" w:rsidRPr="001A0660" w14:paraId="02AAB62C" w14:textId="77777777">
        <w:trPr>
          <w:cantSplit/>
          <w:trHeight w:val="60"/>
        </w:trPr>
        <w:tc>
          <w:tcPr>
            <w:tcW w:w="1871" w:type="dxa"/>
          </w:tcPr>
          <w:p w14:paraId="242D1D2D" w14:textId="77777777" w:rsidR="006D60A1" w:rsidRPr="001A0660" w:rsidRDefault="006D60A1" w:rsidP="006D60A1">
            <w:pPr>
              <w:pStyle w:val="TableSideHeading"/>
            </w:pPr>
          </w:p>
        </w:tc>
        <w:tc>
          <w:tcPr>
            <w:tcW w:w="624" w:type="dxa"/>
          </w:tcPr>
          <w:p w14:paraId="71C5139F" w14:textId="77777777" w:rsidR="006D60A1" w:rsidRPr="001A0660" w:rsidRDefault="006D60A1" w:rsidP="006D60A1">
            <w:pPr>
              <w:pStyle w:val="TableText"/>
            </w:pPr>
          </w:p>
        </w:tc>
        <w:tc>
          <w:tcPr>
            <w:tcW w:w="624" w:type="dxa"/>
          </w:tcPr>
          <w:p w14:paraId="308EB785" w14:textId="77777777" w:rsidR="006D60A1" w:rsidRPr="001A0660" w:rsidRDefault="006D60A1" w:rsidP="006D60A1">
            <w:pPr>
              <w:pStyle w:val="TableText"/>
            </w:pPr>
          </w:p>
        </w:tc>
        <w:tc>
          <w:tcPr>
            <w:tcW w:w="624" w:type="dxa"/>
          </w:tcPr>
          <w:p w14:paraId="6E232D6C" w14:textId="77777777" w:rsidR="006D60A1" w:rsidRPr="001A0660" w:rsidRDefault="006D60A1" w:rsidP="006D60A1">
            <w:pPr>
              <w:pStyle w:val="TableText"/>
            </w:pPr>
          </w:p>
        </w:tc>
        <w:tc>
          <w:tcPr>
            <w:tcW w:w="624" w:type="dxa"/>
          </w:tcPr>
          <w:p w14:paraId="56928CB5" w14:textId="77777777" w:rsidR="006D60A1" w:rsidRPr="001A0660" w:rsidRDefault="006D60A1" w:rsidP="006D60A1">
            <w:pPr>
              <w:pStyle w:val="TableText"/>
            </w:pPr>
          </w:p>
        </w:tc>
        <w:tc>
          <w:tcPr>
            <w:tcW w:w="624" w:type="dxa"/>
          </w:tcPr>
          <w:p w14:paraId="4F2CDAFD" w14:textId="77777777" w:rsidR="006D60A1" w:rsidRPr="001A0660" w:rsidRDefault="006D60A1" w:rsidP="006D60A1">
            <w:pPr>
              <w:pStyle w:val="TableText"/>
            </w:pPr>
          </w:p>
        </w:tc>
        <w:tc>
          <w:tcPr>
            <w:tcW w:w="624" w:type="dxa"/>
          </w:tcPr>
          <w:p w14:paraId="06D9F095" w14:textId="77777777" w:rsidR="006D60A1" w:rsidRPr="001A0660" w:rsidRDefault="006D60A1" w:rsidP="006D60A1">
            <w:pPr>
              <w:pStyle w:val="TableText"/>
            </w:pPr>
          </w:p>
        </w:tc>
        <w:tc>
          <w:tcPr>
            <w:tcW w:w="4026" w:type="dxa"/>
            <w:gridSpan w:val="2"/>
          </w:tcPr>
          <w:p w14:paraId="71EF4158" w14:textId="77777777" w:rsidR="006D60A1" w:rsidRPr="001A0660" w:rsidRDefault="006D60A1" w:rsidP="00656686">
            <w:pPr>
              <w:pStyle w:val="TableBlockOutdent"/>
              <w:rPr>
                <w:rtl/>
              </w:rPr>
            </w:pPr>
            <w:r w:rsidRPr="001A0660">
              <w:rPr>
                <w:rtl/>
              </w:rPr>
              <w:t>"חברה בקבוצה" – חברת המעטים, וכל חברה הנמנית עם אותה קבוצה, שעליה נמנית חברת המעטים;</w:t>
            </w:r>
          </w:p>
        </w:tc>
      </w:tr>
      <w:tr w:rsidR="006D60A1" w:rsidRPr="001A0660" w14:paraId="031F7D09" w14:textId="77777777">
        <w:trPr>
          <w:cantSplit/>
          <w:trHeight w:val="60"/>
        </w:trPr>
        <w:tc>
          <w:tcPr>
            <w:tcW w:w="1871" w:type="dxa"/>
          </w:tcPr>
          <w:p w14:paraId="6A1B6A5B" w14:textId="77777777" w:rsidR="006D60A1" w:rsidRPr="001A0660" w:rsidRDefault="006D60A1" w:rsidP="006D60A1">
            <w:pPr>
              <w:pStyle w:val="TableSideHeading"/>
            </w:pPr>
          </w:p>
        </w:tc>
        <w:tc>
          <w:tcPr>
            <w:tcW w:w="624" w:type="dxa"/>
          </w:tcPr>
          <w:p w14:paraId="38CC23FD" w14:textId="77777777" w:rsidR="006D60A1" w:rsidRPr="001A0660" w:rsidRDefault="006D60A1" w:rsidP="006D60A1">
            <w:pPr>
              <w:pStyle w:val="TableText"/>
            </w:pPr>
          </w:p>
        </w:tc>
        <w:tc>
          <w:tcPr>
            <w:tcW w:w="624" w:type="dxa"/>
          </w:tcPr>
          <w:p w14:paraId="0A8D8637" w14:textId="77777777" w:rsidR="006D60A1" w:rsidRPr="001A0660" w:rsidRDefault="006D60A1" w:rsidP="006D60A1">
            <w:pPr>
              <w:pStyle w:val="TableText"/>
            </w:pPr>
          </w:p>
        </w:tc>
        <w:tc>
          <w:tcPr>
            <w:tcW w:w="624" w:type="dxa"/>
          </w:tcPr>
          <w:p w14:paraId="7262B5A2" w14:textId="77777777" w:rsidR="006D60A1" w:rsidRPr="001A0660" w:rsidRDefault="006D60A1" w:rsidP="006D60A1">
            <w:pPr>
              <w:pStyle w:val="TableText"/>
            </w:pPr>
          </w:p>
        </w:tc>
        <w:tc>
          <w:tcPr>
            <w:tcW w:w="624" w:type="dxa"/>
          </w:tcPr>
          <w:p w14:paraId="4FDEF6E5" w14:textId="77777777" w:rsidR="006D60A1" w:rsidRPr="001A0660" w:rsidRDefault="006D60A1" w:rsidP="006D60A1">
            <w:pPr>
              <w:pStyle w:val="TableText"/>
            </w:pPr>
          </w:p>
        </w:tc>
        <w:tc>
          <w:tcPr>
            <w:tcW w:w="624" w:type="dxa"/>
          </w:tcPr>
          <w:p w14:paraId="37B29086" w14:textId="77777777" w:rsidR="006D60A1" w:rsidRPr="001A0660" w:rsidRDefault="006D60A1" w:rsidP="006D60A1">
            <w:pPr>
              <w:pStyle w:val="TableText"/>
            </w:pPr>
          </w:p>
        </w:tc>
        <w:tc>
          <w:tcPr>
            <w:tcW w:w="624" w:type="dxa"/>
          </w:tcPr>
          <w:p w14:paraId="585F3CA5" w14:textId="77777777" w:rsidR="006D60A1" w:rsidRPr="001A0660" w:rsidRDefault="006D60A1" w:rsidP="006D60A1">
            <w:pPr>
              <w:pStyle w:val="TableText"/>
            </w:pPr>
          </w:p>
        </w:tc>
        <w:tc>
          <w:tcPr>
            <w:tcW w:w="4026" w:type="dxa"/>
            <w:gridSpan w:val="2"/>
          </w:tcPr>
          <w:p w14:paraId="58A66938" w14:textId="77777777" w:rsidR="006D60A1" w:rsidRPr="001A0660" w:rsidRDefault="006D60A1" w:rsidP="00656686">
            <w:pPr>
              <w:pStyle w:val="TableBlockOutdent"/>
              <w:rPr>
                <w:rtl/>
              </w:rPr>
            </w:pPr>
            <w:r w:rsidRPr="001A0660">
              <w:rPr>
                <w:rtl/>
              </w:rPr>
              <w:t>"קבוצה" – כהגדרתה בסעיף 51כד לחוק עידוד השקעות הון</w:t>
            </w:r>
            <w:r w:rsidR="00C3721C">
              <w:rPr>
                <w:rFonts w:hint="cs"/>
                <w:rtl/>
              </w:rPr>
              <w:t>;</w:t>
            </w:r>
          </w:p>
        </w:tc>
      </w:tr>
      <w:tr w:rsidR="006D60A1" w:rsidRPr="001A0660" w14:paraId="4FFA13F3" w14:textId="77777777">
        <w:trPr>
          <w:cantSplit/>
          <w:trHeight w:val="60"/>
        </w:trPr>
        <w:tc>
          <w:tcPr>
            <w:tcW w:w="1871" w:type="dxa"/>
          </w:tcPr>
          <w:p w14:paraId="6A0C8720" w14:textId="77777777" w:rsidR="006D60A1" w:rsidRPr="001A0660" w:rsidRDefault="006D60A1" w:rsidP="006D60A1">
            <w:pPr>
              <w:pStyle w:val="TableSideHeading"/>
            </w:pPr>
          </w:p>
        </w:tc>
        <w:tc>
          <w:tcPr>
            <w:tcW w:w="624" w:type="dxa"/>
          </w:tcPr>
          <w:p w14:paraId="7DA8D40E" w14:textId="77777777" w:rsidR="006D60A1" w:rsidRPr="001A0660" w:rsidRDefault="006D60A1" w:rsidP="006D60A1">
            <w:pPr>
              <w:pStyle w:val="TableText"/>
            </w:pPr>
          </w:p>
        </w:tc>
        <w:tc>
          <w:tcPr>
            <w:tcW w:w="624" w:type="dxa"/>
          </w:tcPr>
          <w:p w14:paraId="50DC107A" w14:textId="77777777" w:rsidR="006D60A1" w:rsidRPr="001A0660" w:rsidRDefault="006D60A1" w:rsidP="006D60A1">
            <w:pPr>
              <w:pStyle w:val="TableText"/>
            </w:pPr>
          </w:p>
        </w:tc>
        <w:tc>
          <w:tcPr>
            <w:tcW w:w="624" w:type="dxa"/>
          </w:tcPr>
          <w:p w14:paraId="2570E7AC" w14:textId="77777777" w:rsidR="006D60A1" w:rsidRPr="001A0660" w:rsidRDefault="006D60A1" w:rsidP="006D60A1">
            <w:pPr>
              <w:pStyle w:val="TableText"/>
            </w:pPr>
          </w:p>
        </w:tc>
        <w:tc>
          <w:tcPr>
            <w:tcW w:w="624" w:type="dxa"/>
          </w:tcPr>
          <w:p w14:paraId="777472AB" w14:textId="77777777" w:rsidR="006D60A1" w:rsidRPr="001A0660" w:rsidRDefault="006D60A1" w:rsidP="006D60A1">
            <w:pPr>
              <w:pStyle w:val="TableText"/>
            </w:pPr>
          </w:p>
        </w:tc>
        <w:tc>
          <w:tcPr>
            <w:tcW w:w="624" w:type="dxa"/>
          </w:tcPr>
          <w:p w14:paraId="49600B5F" w14:textId="77777777" w:rsidR="006D60A1" w:rsidRPr="001A0660" w:rsidRDefault="006D60A1" w:rsidP="006D60A1">
            <w:pPr>
              <w:pStyle w:val="TableText"/>
            </w:pPr>
          </w:p>
        </w:tc>
        <w:tc>
          <w:tcPr>
            <w:tcW w:w="624" w:type="dxa"/>
          </w:tcPr>
          <w:p w14:paraId="04A12218" w14:textId="77777777" w:rsidR="006D60A1" w:rsidRPr="001A0660" w:rsidRDefault="006D60A1" w:rsidP="006D60A1">
            <w:pPr>
              <w:pStyle w:val="TableText"/>
            </w:pPr>
          </w:p>
        </w:tc>
        <w:tc>
          <w:tcPr>
            <w:tcW w:w="4026" w:type="dxa"/>
            <w:gridSpan w:val="2"/>
          </w:tcPr>
          <w:p w14:paraId="34A59962" w14:textId="77777777" w:rsidR="006D60A1" w:rsidRPr="00475A49" w:rsidRDefault="006D60A1" w:rsidP="006D60A1">
            <w:pPr>
              <w:pStyle w:val="TableBlock"/>
              <w:numPr>
                <w:ilvl w:val="0"/>
                <w:numId w:val="37"/>
              </w:numPr>
              <w:tabs>
                <w:tab w:val="left" w:pos="624"/>
              </w:tabs>
              <w:rPr>
                <w:rtl/>
              </w:rPr>
            </w:pPr>
            <w:r w:rsidRPr="00475A49">
              <w:rPr>
                <w:rtl/>
              </w:rPr>
              <w:t xml:space="preserve">סכום ההוצאות של החברה בשנת המס, או סכום ממוצע ההוצאות השנתי של החברה בשנת המס ובשנתיים שקדמו לשנת המס </w:t>
            </w:r>
            <w:r w:rsidR="00656686" w:rsidRPr="00475A49">
              <w:rPr>
                <w:rFonts w:hint="cs"/>
                <w:rtl/>
              </w:rPr>
              <w:t>שבהן החברה הייתה מוקמת</w:t>
            </w:r>
            <w:r w:rsidR="00475A49">
              <w:rPr>
                <w:rFonts w:hint="cs"/>
                <w:rtl/>
              </w:rPr>
              <w:t>,</w:t>
            </w:r>
            <w:r w:rsidR="00656686" w:rsidRPr="00475A49">
              <w:rPr>
                <w:rFonts w:hint="cs"/>
                <w:rtl/>
              </w:rPr>
              <w:t xml:space="preserve"> </w:t>
            </w:r>
            <w:r w:rsidRPr="00475A49">
              <w:rPr>
                <w:rtl/>
              </w:rPr>
              <w:t xml:space="preserve">לפי הגבוה </w:t>
            </w:r>
            <w:r w:rsidR="004A2EBF" w:rsidRPr="00475A49">
              <w:rPr>
                <w:rFonts w:hint="cs"/>
                <w:rtl/>
              </w:rPr>
              <w:t>מבניהם</w:t>
            </w:r>
            <w:r w:rsidRPr="00BD3634">
              <w:rPr>
                <w:rtl/>
              </w:rPr>
              <w:t xml:space="preserve">; </w:t>
            </w:r>
            <w:r w:rsidR="002E16B2" w:rsidRPr="00475A49">
              <w:rPr>
                <w:rFonts w:hint="eastAsia"/>
                <w:rtl/>
              </w:rPr>
              <w:t>שר</w:t>
            </w:r>
            <w:r w:rsidR="002E16B2" w:rsidRPr="00475A49">
              <w:rPr>
                <w:rtl/>
              </w:rPr>
              <w:t xml:space="preserve"> </w:t>
            </w:r>
            <w:r w:rsidR="002E16B2" w:rsidRPr="00475A49">
              <w:rPr>
                <w:rFonts w:hint="eastAsia"/>
                <w:rtl/>
              </w:rPr>
              <w:t>האוצר</w:t>
            </w:r>
            <w:r w:rsidR="002E16B2" w:rsidRPr="00475A49">
              <w:rPr>
                <w:rtl/>
              </w:rPr>
              <w:t xml:space="preserve">, </w:t>
            </w:r>
            <w:r w:rsidR="002E16B2" w:rsidRPr="00475A49">
              <w:rPr>
                <w:rFonts w:hint="eastAsia"/>
                <w:rtl/>
              </w:rPr>
              <w:t>רשאי</w:t>
            </w:r>
            <w:r w:rsidR="002E16B2" w:rsidRPr="00475A49">
              <w:rPr>
                <w:rtl/>
              </w:rPr>
              <w:t xml:space="preserve"> </w:t>
            </w:r>
            <w:r w:rsidR="002E16B2" w:rsidRPr="00475A49">
              <w:rPr>
                <w:rFonts w:hint="eastAsia"/>
                <w:rtl/>
              </w:rPr>
              <w:t>לקבוע</w:t>
            </w:r>
            <w:r w:rsidR="002E16B2" w:rsidRPr="00475A49">
              <w:rPr>
                <w:rtl/>
              </w:rPr>
              <w:t xml:space="preserve"> </w:t>
            </w:r>
            <w:r w:rsidR="002E16B2" w:rsidRPr="00475A49">
              <w:rPr>
                <w:rFonts w:hint="eastAsia"/>
                <w:rtl/>
              </w:rPr>
              <w:t>בתקנות</w:t>
            </w:r>
            <w:r w:rsidR="002E16B2" w:rsidRPr="00475A49">
              <w:rPr>
                <w:rtl/>
              </w:rPr>
              <w:t xml:space="preserve"> </w:t>
            </w:r>
            <w:r w:rsidR="002E16B2" w:rsidRPr="00475A49">
              <w:rPr>
                <w:rFonts w:hint="eastAsia"/>
                <w:rtl/>
              </w:rPr>
              <w:t>סוגי</w:t>
            </w:r>
            <w:r w:rsidR="002E16B2" w:rsidRPr="00475A49">
              <w:rPr>
                <w:rtl/>
              </w:rPr>
              <w:t xml:space="preserve"> </w:t>
            </w:r>
            <w:r w:rsidR="002E16B2" w:rsidRPr="00475A49">
              <w:rPr>
                <w:rFonts w:hint="eastAsia"/>
                <w:rtl/>
              </w:rPr>
              <w:t>הוצאות</w:t>
            </w:r>
            <w:r w:rsidR="002E16B2" w:rsidRPr="00475A49">
              <w:rPr>
                <w:rtl/>
              </w:rPr>
              <w:t xml:space="preserve"> </w:t>
            </w:r>
            <w:r w:rsidR="002E16B2" w:rsidRPr="00475A49">
              <w:rPr>
                <w:rFonts w:hint="eastAsia"/>
                <w:rtl/>
              </w:rPr>
              <w:t>שלא</w:t>
            </w:r>
            <w:r w:rsidR="002E16B2" w:rsidRPr="00475A49">
              <w:rPr>
                <w:rtl/>
              </w:rPr>
              <w:t xml:space="preserve"> </w:t>
            </w:r>
            <w:r w:rsidR="002E16B2" w:rsidRPr="00475A49">
              <w:rPr>
                <w:rFonts w:hint="eastAsia"/>
                <w:rtl/>
              </w:rPr>
              <w:t>ייכללו</w:t>
            </w:r>
            <w:r w:rsidR="002E16B2" w:rsidRPr="00475A49">
              <w:rPr>
                <w:rtl/>
              </w:rPr>
              <w:t xml:space="preserve"> </w:t>
            </w:r>
            <w:r w:rsidR="002E16B2" w:rsidRPr="00475A49">
              <w:rPr>
                <w:rFonts w:hint="eastAsia"/>
                <w:rtl/>
              </w:rPr>
              <w:t>במסגרת</w:t>
            </w:r>
            <w:r w:rsidR="002E16B2" w:rsidRPr="00475A49">
              <w:rPr>
                <w:rtl/>
              </w:rPr>
              <w:t xml:space="preserve"> </w:t>
            </w:r>
            <w:r w:rsidR="002E16B2" w:rsidRPr="00475A49">
              <w:rPr>
                <w:rFonts w:hint="eastAsia"/>
                <w:rtl/>
              </w:rPr>
              <w:t>סכום</w:t>
            </w:r>
            <w:r w:rsidR="002E16B2" w:rsidRPr="00475A49">
              <w:rPr>
                <w:rtl/>
              </w:rPr>
              <w:t xml:space="preserve"> </w:t>
            </w:r>
            <w:r w:rsidR="002E16B2" w:rsidRPr="00475A49">
              <w:rPr>
                <w:rFonts w:hint="eastAsia"/>
                <w:rtl/>
              </w:rPr>
              <w:t>ההוצאות</w:t>
            </w:r>
            <w:r w:rsidR="002E16B2" w:rsidRPr="00475A49">
              <w:rPr>
                <w:rtl/>
              </w:rPr>
              <w:t xml:space="preserve"> </w:t>
            </w:r>
            <w:r w:rsidR="002E16B2" w:rsidRPr="00475A49">
              <w:rPr>
                <w:rFonts w:hint="eastAsia"/>
                <w:rtl/>
              </w:rPr>
              <w:t>של</w:t>
            </w:r>
            <w:r w:rsidR="002E16B2" w:rsidRPr="00475A49">
              <w:rPr>
                <w:rtl/>
              </w:rPr>
              <w:t xml:space="preserve"> </w:t>
            </w:r>
            <w:r w:rsidR="002E16B2" w:rsidRPr="00475A49">
              <w:rPr>
                <w:rFonts w:hint="eastAsia"/>
                <w:rtl/>
              </w:rPr>
              <w:t>החברה</w:t>
            </w:r>
            <w:r w:rsidR="002E16B2" w:rsidRPr="00475A49">
              <w:rPr>
                <w:rtl/>
              </w:rPr>
              <w:t xml:space="preserve"> </w:t>
            </w:r>
            <w:r w:rsidR="002E16B2" w:rsidRPr="00475A49">
              <w:rPr>
                <w:rFonts w:hint="eastAsia"/>
                <w:rtl/>
              </w:rPr>
              <w:t>ואת</w:t>
            </w:r>
            <w:r w:rsidR="002E16B2" w:rsidRPr="00475A49">
              <w:rPr>
                <w:rtl/>
              </w:rPr>
              <w:t xml:space="preserve"> </w:t>
            </w:r>
            <w:r w:rsidR="002E16B2" w:rsidRPr="00475A49">
              <w:rPr>
                <w:rFonts w:hint="eastAsia"/>
                <w:rtl/>
              </w:rPr>
              <w:t>דרך</w:t>
            </w:r>
            <w:r w:rsidR="002E16B2" w:rsidRPr="00475A49">
              <w:rPr>
                <w:rtl/>
              </w:rPr>
              <w:t xml:space="preserve"> </w:t>
            </w:r>
            <w:r w:rsidR="002E16B2" w:rsidRPr="00475A49">
              <w:rPr>
                <w:rFonts w:hint="eastAsia"/>
                <w:rtl/>
              </w:rPr>
              <w:t>החישוב</w:t>
            </w:r>
            <w:r w:rsidR="002E16B2" w:rsidRPr="00475A49">
              <w:rPr>
                <w:rtl/>
              </w:rPr>
              <w:t xml:space="preserve"> </w:t>
            </w:r>
            <w:r w:rsidR="002E16B2" w:rsidRPr="00475A49">
              <w:rPr>
                <w:rFonts w:hint="eastAsia"/>
                <w:rtl/>
              </w:rPr>
              <w:t>של</w:t>
            </w:r>
            <w:r w:rsidR="002E16B2" w:rsidRPr="00475A49">
              <w:rPr>
                <w:rtl/>
              </w:rPr>
              <w:t xml:space="preserve"> </w:t>
            </w:r>
            <w:r w:rsidR="002E16B2" w:rsidRPr="00475A49">
              <w:rPr>
                <w:rFonts w:hint="eastAsia"/>
                <w:rtl/>
              </w:rPr>
              <w:t>ההוצאות</w:t>
            </w:r>
            <w:r w:rsidR="002E16B2" w:rsidRPr="00475A49">
              <w:rPr>
                <w:rtl/>
              </w:rPr>
              <w:t xml:space="preserve"> </w:t>
            </w:r>
            <w:r w:rsidR="002E16B2" w:rsidRPr="00475A49">
              <w:rPr>
                <w:rFonts w:hint="eastAsia"/>
                <w:rtl/>
              </w:rPr>
              <w:t>לעניין</w:t>
            </w:r>
            <w:r w:rsidR="002E16B2" w:rsidRPr="00475A49">
              <w:rPr>
                <w:rtl/>
              </w:rPr>
              <w:t xml:space="preserve"> </w:t>
            </w:r>
            <w:r w:rsidR="002E16B2" w:rsidRPr="00475A49">
              <w:rPr>
                <w:rFonts w:hint="eastAsia"/>
                <w:rtl/>
              </w:rPr>
              <w:t>זה</w:t>
            </w:r>
            <w:r w:rsidR="00C3721C" w:rsidRPr="00475A49">
              <w:rPr>
                <w:rtl/>
              </w:rPr>
              <w:t>;</w:t>
            </w:r>
            <w:r w:rsidR="002E16B2" w:rsidRPr="00475A49">
              <w:rPr>
                <w:rtl/>
              </w:rPr>
              <w:t xml:space="preserve"> </w:t>
            </w:r>
          </w:p>
        </w:tc>
      </w:tr>
      <w:tr w:rsidR="004A2EBF" w:rsidRPr="001A0660" w14:paraId="6DB9774B" w14:textId="77777777">
        <w:trPr>
          <w:cantSplit/>
          <w:trHeight w:val="60"/>
        </w:trPr>
        <w:tc>
          <w:tcPr>
            <w:tcW w:w="1871" w:type="dxa"/>
          </w:tcPr>
          <w:p w14:paraId="47DC38D4" w14:textId="77777777" w:rsidR="004A2EBF" w:rsidRPr="002B0CD4" w:rsidRDefault="004A2EBF" w:rsidP="006D60A1">
            <w:pPr>
              <w:pStyle w:val="TableSideHeading"/>
              <w:rPr>
                <w:highlight w:val="yellow"/>
              </w:rPr>
            </w:pPr>
          </w:p>
        </w:tc>
        <w:tc>
          <w:tcPr>
            <w:tcW w:w="624" w:type="dxa"/>
          </w:tcPr>
          <w:p w14:paraId="667CF7E7" w14:textId="77777777" w:rsidR="004A2EBF" w:rsidRPr="002B0CD4" w:rsidRDefault="004A2EBF" w:rsidP="004A2EBF">
            <w:pPr>
              <w:pStyle w:val="TableText"/>
              <w:rPr>
                <w:highlight w:val="yellow"/>
              </w:rPr>
            </w:pPr>
          </w:p>
        </w:tc>
        <w:tc>
          <w:tcPr>
            <w:tcW w:w="624" w:type="dxa"/>
          </w:tcPr>
          <w:p w14:paraId="633F3F6B" w14:textId="77777777" w:rsidR="004A2EBF" w:rsidRPr="002B0CD4" w:rsidRDefault="004A2EBF" w:rsidP="006D60A1">
            <w:pPr>
              <w:pStyle w:val="TableText"/>
              <w:rPr>
                <w:highlight w:val="yellow"/>
              </w:rPr>
            </w:pPr>
          </w:p>
        </w:tc>
        <w:tc>
          <w:tcPr>
            <w:tcW w:w="624" w:type="dxa"/>
          </w:tcPr>
          <w:p w14:paraId="0C70D84C" w14:textId="77777777" w:rsidR="004A2EBF" w:rsidRPr="002B0CD4" w:rsidRDefault="004A2EBF" w:rsidP="006D60A1">
            <w:pPr>
              <w:pStyle w:val="TableText"/>
              <w:rPr>
                <w:highlight w:val="yellow"/>
              </w:rPr>
            </w:pPr>
          </w:p>
        </w:tc>
        <w:tc>
          <w:tcPr>
            <w:tcW w:w="624" w:type="dxa"/>
          </w:tcPr>
          <w:p w14:paraId="602688B7" w14:textId="77777777" w:rsidR="004A2EBF" w:rsidRPr="002B0CD4" w:rsidRDefault="004A2EBF" w:rsidP="006D60A1">
            <w:pPr>
              <w:pStyle w:val="TableText"/>
              <w:rPr>
                <w:highlight w:val="yellow"/>
              </w:rPr>
            </w:pPr>
          </w:p>
        </w:tc>
        <w:tc>
          <w:tcPr>
            <w:tcW w:w="624" w:type="dxa"/>
          </w:tcPr>
          <w:p w14:paraId="4157BBA8" w14:textId="77777777" w:rsidR="004A2EBF" w:rsidRPr="002B0CD4" w:rsidRDefault="004A2EBF" w:rsidP="006D60A1">
            <w:pPr>
              <w:pStyle w:val="TableText"/>
              <w:rPr>
                <w:highlight w:val="yellow"/>
              </w:rPr>
            </w:pPr>
          </w:p>
        </w:tc>
        <w:tc>
          <w:tcPr>
            <w:tcW w:w="624" w:type="dxa"/>
          </w:tcPr>
          <w:p w14:paraId="5DC6FA70" w14:textId="77777777" w:rsidR="004A2EBF" w:rsidRPr="002B0CD4" w:rsidRDefault="004A2EBF" w:rsidP="006D60A1">
            <w:pPr>
              <w:pStyle w:val="TableText"/>
              <w:rPr>
                <w:highlight w:val="yellow"/>
              </w:rPr>
            </w:pPr>
          </w:p>
        </w:tc>
        <w:tc>
          <w:tcPr>
            <w:tcW w:w="4026" w:type="dxa"/>
            <w:gridSpan w:val="2"/>
          </w:tcPr>
          <w:p w14:paraId="358295CC" w14:textId="77777777" w:rsidR="004A2EBF" w:rsidRPr="00475A49" w:rsidRDefault="004A2EBF" w:rsidP="006D60A1">
            <w:pPr>
              <w:pStyle w:val="TableBlock"/>
              <w:numPr>
                <w:ilvl w:val="0"/>
                <w:numId w:val="37"/>
              </w:numPr>
              <w:tabs>
                <w:tab w:val="left" w:pos="624"/>
              </w:tabs>
              <w:rPr>
                <w:rtl/>
              </w:rPr>
            </w:pPr>
            <w:r w:rsidRPr="00475A49">
              <w:rPr>
                <w:rFonts w:hint="eastAsia"/>
                <w:rtl/>
              </w:rPr>
              <w:t>עלות</w:t>
            </w:r>
            <w:r w:rsidRPr="00475A49">
              <w:rPr>
                <w:rtl/>
              </w:rPr>
              <w:t xml:space="preserve"> נכסי החברה בהפחתת עלות נכסים מיוחדים, הון עצמי ויתרת הלוואה מצד קשור כהגדרתו בסעיף 103, ובתוספת עלות חבר בני אדם מוחזק</w:t>
            </w:r>
            <w:r w:rsidR="000372CA" w:rsidRPr="00475A49">
              <w:rPr>
                <w:rtl/>
              </w:rPr>
              <w:t>,</w:t>
            </w:r>
            <w:r w:rsidRPr="00475A49">
              <w:rPr>
                <w:rtl/>
              </w:rPr>
              <w:t xml:space="preserve"> והכל בתום שנת המס; </w:t>
            </w:r>
            <w:r w:rsidRPr="00BD3634">
              <w:rPr>
                <w:rFonts w:hint="eastAsia"/>
                <w:rtl/>
              </w:rPr>
              <w:t>לעניין</w:t>
            </w:r>
            <w:r w:rsidRPr="00475A49">
              <w:rPr>
                <w:rtl/>
              </w:rPr>
              <w:t xml:space="preserve"> </w:t>
            </w:r>
            <w:r w:rsidRPr="00475A49">
              <w:rPr>
                <w:rFonts w:hint="eastAsia"/>
                <w:rtl/>
              </w:rPr>
              <w:t>זה</w:t>
            </w:r>
            <w:r w:rsidRPr="00475A49">
              <w:rPr>
                <w:rtl/>
              </w:rPr>
              <w:t>,</w:t>
            </w:r>
          </w:p>
        </w:tc>
      </w:tr>
      <w:tr w:rsidR="004A2EBF" w:rsidRPr="001A0660" w14:paraId="74A8DACA" w14:textId="77777777">
        <w:trPr>
          <w:cantSplit/>
          <w:trHeight w:val="60"/>
        </w:trPr>
        <w:tc>
          <w:tcPr>
            <w:tcW w:w="1871" w:type="dxa"/>
          </w:tcPr>
          <w:p w14:paraId="7F225D52" w14:textId="77777777" w:rsidR="004A2EBF" w:rsidRPr="001A0660" w:rsidRDefault="004A2EBF" w:rsidP="006D60A1">
            <w:pPr>
              <w:pStyle w:val="TableSideHeading"/>
            </w:pPr>
          </w:p>
        </w:tc>
        <w:tc>
          <w:tcPr>
            <w:tcW w:w="624" w:type="dxa"/>
          </w:tcPr>
          <w:p w14:paraId="64631457" w14:textId="77777777" w:rsidR="004A2EBF" w:rsidRPr="001A0660" w:rsidRDefault="004A2EBF" w:rsidP="004A2EBF">
            <w:pPr>
              <w:pStyle w:val="TableText"/>
            </w:pPr>
          </w:p>
        </w:tc>
        <w:tc>
          <w:tcPr>
            <w:tcW w:w="624" w:type="dxa"/>
          </w:tcPr>
          <w:p w14:paraId="481029B1" w14:textId="77777777" w:rsidR="004A2EBF" w:rsidRPr="001A0660" w:rsidRDefault="004A2EBF" w:rsidP="006D60A1">
            <w:pPr>
              <w:pStyle w:val="TableText"/>
            </w:pPr>
          </w:p>
        </w:tc>
        <w:tc>
          <w:tcPr>
            <w:tcW w:w="624" w:type="dxa"/>
          </w:tcPr>
          <w:p w14:paraId="2F1C4E35" w14:textId="77777777" w:rsidR="004A2EBF" w:rsidRPr="001A0660" w:rsidRDefault="004A2EBF" w:rsidP="006D60A1">
            <w:pPr>
              <w:pStyle w:val="TableText"/>
            </w:pPr>
          </w:p>
        </w:tc>
        <w:tc>
          <w:tcPr>
            <w:tcW w:w="624" w:type="dxa"/>
          </w:tcPr>
          <w:p w14:paraId="6BF11819" w14:textId="77777777" w:rsidR="004A2EBF" w:rsidRPr="001A0660" w:rsidRDefault="004A2EBF" w:rsidP="006D60A1">
            <w:pPr>
              <w:pStyle w:val="TableText"/>
            </w:pPr>
          </w:p>
        </w:tc>
        <w:tc>
          <w:tcPr>
            <w:tcW w:w="624" w:type="dxa"/>
          </w:tcPr>
          <w:p w14:paraId="1B3676EA" w14:textId="77777777" w:rsidR="004A2EBF" w:rsidRPr="001A0660" w:rsidRDefault="004A2EBF" w:rsidP="006D60A1">
            <w:pPr>
              <w:pStyle w:val="TableText"/>
            </w:pPr>
          </w:p>
        </w:tc>
        <w:tc>
          <w:tcPr>
            <w:tcW w:w="624" w:type="dxa"/>
          </w:tcPr>
          <w:p w14:paraId="137C9DFE" w14:textId="77777777" w:rsidR="004A2EBF" w:rsidRPr="001A0660" w:rsidRDefault="004A2EBF" w:rsidP="006D60A1">
            <w:pPr>
              <w:pStyle w:val="TableText"/>
            </w:pPr>
          </w:p>
        </w:tc>
        <w:tc>
          <w:tcPr>
            <w:tcW w:w="4026" w:type="dxa"/>
            <w:gridSpan w:val="2"/>
          </w:tcPr>
          <w:p w14:paraId="2EC5C87B" w14:textId="77777777" w:rsidR="004A2EBF" w:rsidRPr="001A0660" w:rsidRDefault="004A2EBF" w:rsidP="004A2EBF">
            <w:pPr>
              <w:pStyle w:val="TableBlock"/>
              <w:tabs>
                <w:tab w:val="clear" w:pos="624"/>
              </w:tabs>
              <w:rPr>
                <w:rtl/>
              </w:rPr>
            </w:pPr>
            <w:r w:rsidRPr="001A0660">
              <w:rPr>
                <w:rtl/>
              </w:rPr>
              <w:t>"זכות במקרקעין" – למעט מלאי עסקי כהגדרתו בסעיף 88</w:t>
            </w:r>
            <w:r w:rsidRPr="001A0660">
              <w:rPr>
                <w:rFonts w:hint="cs"/>
                <w:rtl/>
              </w:rPr>
              <w:t>;</w:t>
            </w:r>
          </w:p>
        </w:tc>
      </w:tr>
      <w:tr w:rsidR="0097258C" w:rsidRPr="001A0660" w14:paraId="52F61E20" w14:textId="77777777">
        <w:trPr>
          <w:cantSplit/>
          <w:trHeight w:val="60"/>
        </w:trPr>
        <w:tc>
          <w:tcPr>
            <w:tcW w:w="1871" w:type="dxa"/>
          </w:tcPr>
          <w:p w14:paraId="0CDE7BDC" w14:textId="77777777" w:rsidR="0097258C" w:rsidRPr="001A0660" w:rsidRDefault="0097258C" w:rsidP="006D60A1">
            <w:pPr>
              <w:pStyle w:val="TableSideHeading"/>
            </w:pPr>
          </w:p>
        </w:tc>
        <w:tc>
          <w:tcPr>
            <w:tcW w:w="624" w:type="dxa"/>
          </w:tcPr>
          <w:p w14:paraId="4E425FCB" w14:textId="77777777" w:rsidR="0097258C" w:rsidRPr="001A0660" w:rsidRDefault="0097258C" w:rsidP="0097258C">
            <w:pPr>
              <w:pStyle w:val="TableText"/>
            </w:pPr>
          </w:p>
        </w:tc>
        <w:tc>
          <w:tcPr>
            <w:tcW w:w="624" w:type="dxa"/>
          </w:tcPr>
          <w:p w14:paraId="6361C36A" w14:textId="77777777" w:rsidR="0097258C" w:rsidRPr="001A0660" w:rsidRDefault="0097258C" w:rsidP="006D60A1">
            <w:pPr>
              <w:pStyle w:val="TableText"/>
            </w:pPr>
          </w:p>
        </w:tc>
        <w:tc>
          <w:tcPr>
            <w:tcW w:w="624" w:type="dxa"/>
          </w:tcPr>
          <w:p w14:paraId="38929D17" w14:textId="77777777" w:rsidR="0097258C" w:rsidRPr="001A0660" w:rsidRDefault="0097258C" w:rsidP="006D60A1">
            <w:pPr>
              <w:pStyle w:val="TableText"/>
            </w:pPr>
          </w:p>
        </w:tc>
        <w:tc>
          <w:tcPr>
            <w:tcW w:w="624" w:type="dxa"/>
          </w:tcPr>
          <w:p w14:paraId="6BA13E30" w14:textId="77777777" w:rsidR="0097258C" w:rsidRPr="001A0660" w:rsidRDefault="0097258C" w:rsidP="006D60A1">
            <w:pPr>
              <w:pStyle w:val="TableText"/>
            </w:pPr>
          </w:p>
        </w:tc>
        <w:tc>
          <w:tcPr>
            <w:tcW w:w="624" w:type="dxa"/>
          </w:tcPr>
          <w:p w14:paraId="23DBB88A" w14:textId="77777777" w:rsidR="0097258C" w:rsidRPr="001A0660" w:rsidRDefault="0097258C" w:rsidP="006D60A1">
            <w:pPr>
              <w:pStyle w:val="TableText"/>
            </w:pPr>
          </w:p>
        </w:tc>
        <w:tc>
          <w:tcPr>
            <w:tcW w:w="624" w:type="dxa"/>
          </w:tcPr>
          <w:p w14:paraId="3F435EC6" w14:textId="77777777" w:rsidR="0097258C" w:rsidRPr="001A0660" w:rsidRDefault="0097258C" w:rsidP="006D60A1">
            <w:pPr>
              <w:pStyle w:val="TableText"/>
            </w:pPr>
          </w:p>
        </w:tc>
        <w:tc>
          <w:tcPr>
            <w:tcW w:w="4026" w:type="dxa"/>
            <w:gridSpan w:val="2"/>
          </w:tcPr>
          <w:p w14:paraId="1697A733" w14:textId="77777777" w:rsidR="0097258C" w:rsidRPr="001A0660" w:rsidRDefault="0097258C" w:rsidP="0097258C">
            <w:pPr>
              <w:pStyle w:val="TableBlock"/>
              <w:tabs>
                <w:tab w:val="clear" w:pos="624"/>
              </w:tabs>
              <w:rPr>
                <w:rtl/>
              </w:rPr>
            </w:pPr>
            <w:r w:rsidRPr="001A0660">
              <w:rPr>
                <w:rtl/>
              </w:rPr>
              <w:t>"חבר בני אדם מוחזק" – חבר בני אדם שחברת המעטים מחזיקה בו, במישרין או בעקיפין, ב</w:t>
            </w:r>
            <w:r w:rsidRPr="001A0660">
              <w:rPr>
                <w:rFonts w:hint="cs"/>
                <w:rtl/>
              </w:rPr>
              <w:t xml:space="preserve">שיעור של </w:t>
            </w:r>
            <w:r w:rsidRPr="001A0660">
              <w:rPr>
                <w:rtl/>
              </w:rPr>
              <w:t>10% לפחות בכל אחד מאמצעי השליטה בו, למעט חבר בני אדם שעיקר שוויו, במישרין או בעקיפין, מקורו בנכסים מיוחדים;</w:t>
            </w:r>
          </w:p>
        </w:tc>
      </w:tr>
      <w:tr w:rsidR="006D60A1" w:rsidRPr="001A0660" w14:paraId="1359C474" w14:textId="77777777">
        <w:trPr>
          <w:cantSplit/>
          <w:trHeight w:val="60"/>
        </w:trPr>
        <w:tc>
          <w:tcPr>
            <w:tcW w:w="1871" w:type="dxa"/>
          </w:tcPr>
          <w:p w14:paraId="46EEA038" w14:textId="77777777" w:rsidR="006D60A1" w:rsidRPr="001A0660" w:rsidRDefault="006D60A1" w:rsidP="006D60A1">
            <w:pPr>
              <w:pStyle w:val="TableSideHeading"/>
            </w:pPr>
          </w:p>
        </w:tc>
        <w:tc>
          <w:tcPr>
            <w:tcW w:w="624" w:type="dxa"/>
          </w:tcPr>
          <w:p w14:paraId="4B856214" w14:textId="77777777" w:rsidR="006D60A1" w:rsidRPr="001A0660" w:rsidRDefault="006D60A1" w:rsidP="006D60A1">
            <w:pPr>
              <w:pStyle w:val="TableText"/>
            </w:pPr>
          </w:p>
        </w:tc>
        <w:tc>
          <w:tcPr>
            <w:tcW w:w="624" w:type="dxa"/>
          </w:tcPr>
          <w:p w14:paraId="57107C05" w14:textId="77777777" w:rsidR="006D60A1" w:rsidRPr="001A0660" w:rsidRDefault="006D60A1" w:rsidP="006D60A1">
            <w:pPr>
              <w:pStyle w:val="TableText"/>
            </w:pPr>
          </w:p>
        </w:tc>
        <w:tc>
          <w:tcPr>
            <w:tcW w:w="624" w:type="dxa"/>
          </w:tcPr>
          <w:p w14:paraId="2E72B518" w14:textId="77777777" w:rsidR="006D60A1" w:rsidRPr="001A0660" w:rsidRDefault="006D60A1" w:rsidP="006D60A1">
            <w:pPr>
              <w:pStyle w:val="TableText"/>
            </w:pPr>
          </w:p>
        </w:tc>
        <w:tc>
          <w:tcPr>
            <w:tcW w:w="624" w:type="dxa"/>
          </w:tcPr>
          <w:p w14:paraId="019A1511" w14:textId="77777777" w:rsidR="006D60A1" w:rsidRPr="001A0660" w:rsidRDefault="006D60A1" w:rsidP="006D60A1">
            <w:pPr>
              <w:pStyle w:val="TableText"/>
            </w:pPr>
          </w:p>
        </w:tc>
        <w:tc>
          <w:tcPr>
            <w:tcW w:w="624" w:type="dxa"/>
          </w:tcPr>
          <w:p w14:paraId="0F26DB43" w14:textId="77777777" w:rsidR="006D60A1" w:rsidRPr="001A0660" w:rsidRDefault="006D60A1" w:rsidP="006D60A1">
            <w:pPr>
              <w:pStyle w:val="TableText"/>
            </w:pPr>
          </w:p>
        </w:tc>
        <w:tc>
          <w:tcPr>
            <w:tcW w:w="624" w:type="dxa"/>
          </w:tcPr>
          <w:p w14:paraId="60B641A7" w14:textId="77777777" w:rsidR="006D60A1" w:rsidRPr="001A0660" w:rsidRDefault="006D60A1" w:rsidP="006D60A1">
            <w:pPr>
              <w:pStyle w:val="TableText"/>
            </w:pPr>
          </w:p>
        </w:tc>
        <w:tc>
          <w:tcPr>
            <w:tcW w:w="4026" w:type="dxa"/>
            <w:gridSpan w:val="2"/>
          </w:tcPr>
          <w:p w14:paraId="4B017E5E" w14:textId="77777777" w:rsidR="006D60A1" w:rsidRPr="001A0660" w:rsidRDefault="0097258C" w:rsidP="005D6FD3">
            <w:pPr>
              <w:pStyle w:val="TableBlockOutdent"/>
              <w:rPr>
                <w:rtl/>
              </w:rPr>
            </w:pPr>
            <w:r w:rsidRPr="001A0660">
              <w:rPr>
                <w:rtl/>
              </w:rPr>
              <w:t>"נכסי החברה" - מזומן, שווה מז</w:t>
            </w:r>
            <w:r w:rsidRPr="001A0660">
              <w:rPr>
                <w:rFonts w:hint="cs"/>
                <w:rtl/>
              </w:rPr>
              <w:t>ו</w:t>
            </w:r>
            <w:r w:rsidRPr="001A0660">
              <w:rPr>
                <w:rtl/>
              </w:rPr>
              <w:t>מן וכל רכוש, בין מקרקעין ובין מיטלטלין, וכל זכות או טובת הנאה ראויות או מוחזקות, בין שהם בישראל ובין שהם מחוץ לישראל;</w:t>
            </w:r>
          </w:p>
        </w:tc>
      </w:tr>
      <w:tr w:rsidR="0097258C" w:rsidRPr="001A0660" w14:paraId="0BC4617B" w14:textId="77777777">
        <w:trPr>
          <w:cantSplit/>
          <w:trHeight w:val="60"/>
        </w:trPr>
        <w:tc>
          <w:tcPr>
            <w:tcW w:w="1871" w:type="dxa"/>
          </w:tcPr>
          <w:p w14:paraId="75D2439F" w14:textId="77777777" w:rsidR="0097258C" w:rsidRPr="001A0660" w:rsidRDefault="0097258C" w:rsidP="006D60A1">
            <w:pPr>
              <w:pStyle w:val="TableSideHeading"/>
            </w:pPr>
          </w:p>
        </w:tc>
        <w:tc>
          <w:tcPr>
            <w:tcW w:w="624" w:type="dxa"/>
          </w:tcPr>
          <w:p w14:paraId="1E790E6B" w14:textId="77777777" w:rsidR="0097258C" w:rsidRPr="001A0660" w:rsidRDefault="0097258C" w:rsidP="0097258C">
            <w:pPr>
              <w:pStyle w:val="TableText"/>
            </w:pPr>
          </w:p>
        </w:tc>
        <w:tc>
          <w:tcPr>
            <w:tcW w:w="624" w:type="dxa"/>
          </w:tcPr>
          <w:p w14:paraId="252AE8D4" w14:textId="77777777" w:rsidR="0097258C" w:rsidRPr="001A0660" w:rsidRDefault="0097258C" w:rsidP="006D60A1">
            <w:pPr>
              <w:pStyle w:val="TableText"/>
            </w:pPr>
          </w:p>
        </w:tc>
        <w:tc>
          <w:tcPr>
            <w:tcW w:w="624" w:type="dxa"/>
          </w:tcPr>
          <w:p w14:paraId="7A32CB34" w14:textId="77777777" w:rsidR="0097258C" w:rsidRPr="001A0660" w:rsidRDefault="0097258C" w:rsidP="006D60A1">
            <w:pPr>
              <w:pStyle w:val="TableText"/>
            </w:pPr>
          </w:p>
        </w:tc>
        <w:tc>
          <w:tcPr>
            <w:tcW w:w="624" w:type="dxa"/>
          </w:tcPr>
          <w:p w14:paraId="09AA80F5" w14:textId="77777777" w:rsidR="0097258C" w:rsidRPr="001A0660" w:rsidRDefault="0097258C" w:rsidP="006D60A1">
            <w:pPr>
              <w:pStyle w:val="TableText"/>
            </w:pPr>
          </w:p>
        </w:tc>
        <w:tc>
          <w:tcPr>
            <w:tcW w:w="624" w:type="dxa"/>
          </w:tcPr>
          <w:p w14:paraId="6D21DC3E" w14:textId="77777777" w:rsidR="0097258C" w:rsidRPr="001A0660" w:rsidRDefault="0097258C" w:rsidP="006D60A1">
            <w:pPr>
              <w:pStyle w:val="TableText"/>
            </w:pPr>
          </w:p>
        </w:tc>
        <w:tc>
          <w:tcPr>
            <w:tcW w:w="624" w:type="dxa"/>
          </w:tcPr>
          <w:p w14:paraId="470B1AED" w14:textId="77777777" w:rsidR="0097258C" w:rsidRPr="001A0660" w:rsidRDefault="0097258C" w:rsidP="006D60A1">
            <w:pPr>
              <w:pStyle w:val="TableText"/>
            </w:pPr>
          </w:p>
        </w:tc>
        <w:tc>
          <w:tcPr>
            <w:tcW w:w="4026" w:type="dxa"/>
            <w:gridSpan w:val="2"/>
          </w:tcPr>
          <w:p w14:paraId="1014DF3A" w14:textId="77777777" w:rsidR="0097258C" w:rsidRPr="001A0660" w:rsidRDefault="0097258C" w:rsidP="006D60A1">
            <w:pPr>
              <w:pStyle w:val="TableBlock"/>
              <w:tabs>
                <w:tab w:val="clear" w:pos="624"/>
              </w:tabs>
              <w:rPr>
                <w:rtl/>
              </w:rPr>
            </w:pPr>
            <w:r w:rsidRPr="001A0660">
              <w:rPr>
                <w:rtl/>
              </w:rPr>
              <w:t>"נכסים מיוחדים" –כל אחד מאלה:</w:t>
            </w:r>
          </w:p>
        </w:tc>
      </w:tr>
      <w:tr w:rsidR="0097258C" w:rsidRPr="001A0660" w14:paraId="0B6E5191" w14:textId="77777777">
        <w:trPr>
          <w:cantSplit/>
          <w:trHeight w:val="60"/>
        </w:trPr>
        <w:tc>
          <w:tcPr>
            <w:tcW w:w="1871" w:type="dxa"/>
          </w:tcPr>
          <w:p w14:paraId="07DC6203" w14:textId="77777777" w:rsidR="0097258C" w:rsidRPr="001A0660" w:rsidRDefault="0097258C">
            <w:pPr>
              <w:pStyle w:val="TableSideHeading"/>
            </w:pPr>
          </w:p>
        </w:tc>
        <w:tc>
          <w:tcPr>
            <w:tcW w:w="624" w:type="dxa"/>
          </w:tcPr>
          <w:p w14:paraId="2CA8B4A7" w14:textId="77777777" w:rsidR="0097258C" w:rsidRPr="001A0660" w:rsidRDefault="0097258C">
            <w:pPr>
              <w:pStyle w:val="TableText"/>
            </w:pPr>
          </w:p>
        </w:tc>
        <w:tc>
          <w:tcPr>
            <w:tcW w:w="624" w:type="dxa"/>
          </w:tcPr>
          <w:p w14:paraId="5F2740E9" w14:textId="77777777" w:rsidR="0097258C" w:rsidRPr="001A0660" w:rsidRDefault="0097258C">
            <w:pPr>
              <w:pStyle w:val="TableText"/>
            </w:pPr>
          </w:p>
        </w:tc>
        <w:tc>
          <w:tcPr>
            <w:tcW w:w="624" w:type="dxa"/>
          </w:tcPr>
          <w:p w14:paraId="7FF2071A" w14:textId="77777777" w:rsidR="0097258C" w:rsidRPr="001A0660" w:rsidRDefault="0097258C">
            <w:pPr>
              <w:pStyle w:val="TableText"/>
            </w:pPr>
          </w:p>
        </w:tc>
        <w:tc>
          <w:tcPr>
            <w:tcW w:w="624" w:type="dxa"/>
          </w:tcPr>
          <w:p w14:paraId="03077632" w14:textId="77777777" w:rsidR="0097258C" w:rsidRPr="001A0660" w:rsidRDefault="0097258C">
            <w:pPr>
              <w:pStyle w:val="TableText"/>
            </w:pPr>
          </w:p>
        </w:tc>
        <w:tc>
          <w:tcPr>
            <w:tcW w:w="624" w:type="dxa"/>
          </w:tcPr>
          <w:p w14:paraId="504E187B" w14:textId="77777777" w:rsidR="0097258C" w:rsidRPr="001A0660" w:rsidRDefault="0097258C">
            <w:pPr>
              <w:pStyle w:val="TableText"/>
            </w:pPr>
          </w:p>
        </w:tc>
        <w:tc>
          <w:tcPr>
            <w:tcW w:w="624" w:type="dxa"/>
          </w:tcPr>
          <w:p w14:paraId="5F0E08FE" w14:textId="77777777" w:rsidR="0097258C" w:rsidRPr="001A0660" w:rsidRDefault="0097258C">
            <w:pPr>
              <w:pStyle w:val="TableText"/>
            </w:pPr>
          </w:p>
        </w:tc>
        <w:tc>
          <w:tcPr>
            <w:tcW w:w="624" w:type="dxa"/>
          </w:tcPr>
          <w:p w14:paraId="387BCEBE" w14:textId="77777777" w:rsidR="0097258C" w:rsidRPr="001A0660" w:rsidRDefault="0097258C">
            <w:pPr>
              <w:pStyle w:val="TableText"/>
            </w:pPr>
          </w:p>
        </w:tc>
        <w:tc>
          <w:tcPr>
            <w:tcW w:w="3402" w:type="dxa"/>
          </w:tcPr>
          <w:p w14:paraId="00B71A08" w14:textId="77777777" w:rsidR="0097258C" w:rsidRPr="001A0660" w:rsidRDefault="0097258C" w:rsidP="0097258C">
            <w:pPr>
              <w:pStyle w:val="TableBlock"/>
              <w:numPr>
                <w:ilvl w:val="0"/>
                <w:numId w:val="38"/>
              </w:numPr>
              <w:tabs>
                <w:tab w:val="left" w:pos="624"/>
              </w:tabs>
            </w:pPr>
            <w:r w:rsidRPr="001A0660">
              <w:rPr>
                <w:rtl/>
              </w:rPr>
              <w:t>נייר ערך כהגדרתו בסעיף 88 לרבות נייר ערך שהוא מלאי עסקי</w:t>
            </w:r>
            <w:r w:rsidRPr="001A0660">
              <w:rPr>
                <w:rFonts w:hint="cs"/>
                <w:rtl/>
              </w:rPr>
              <w:t>;</w:t>
            </w:r>
          </w:p>
        </w:tc>
      </w:tr>
      <w:tr w:rsidR="0097258C" w:rsidRPr="001A0660" w14:paraId="3B5927F3" w14:textId="77777777">
        <w:trPr>
          <w:cantSplit/>
          <w:trHeight w:val="60"/>
        </w:trPr>
        <w:tc>
          <w:tcPr>
            <w:tcW w:w="1871" w:type="dxa"/>
          </w:tcPr>
          <w:p w14:paraId="223BE50C" w14:textId="77777777" w:rsidR="0097258C" w:rsidRPr="001A0660" w:rsidRDefault="0097258C">
            <w:pPr>
              <w:pStyle w:val="TableSideHeading"/>
            </w:pPr>
          </w:p>
        </w:tc>
        <w:tc>
          <w:tcPr>
            <w:tcW w:w="624" w:type="dxa"/>
          </w:tcPr>
          <w:p w14:paraId="6ECEB345" w14:textId="77777777" w:rsidR="0097258C" w:rsidRPr="001A0660" w:rsidRDefault="0097258C" w:rsidP="0097258C">
            <w:pPr>
              <w:pStyle w:val="TableText"/>
            </w:pPr>
          </w:p>
        </w:tc>
        <w:tc>
          <w:tcPr>
            <w:tcW w:w="624" w:type="dxa"/>
          </w:tcPr>
          <w:p w14:paraId="0AC03F37" w14:textId="77777777" w:rsidR="0097258C" w:rsidRPr="001A0660" w:rsidRDefault="0097258C">
            <w:pPr>
              <w:pStyle w:val="TableText"/>
            </w:pPr>
          </w:p>
        </w:tc>
        <w:tc>
          <w:tcPr>
            <w:tcW w:w="624" w:type="dxa"/>
          </w:tcPr>
          <w:p w14:paraId="0C45D476" w14:textId="77777777" w:rsidR="0097258C" w:rsidRPr="001A0660" w:rsidRDefault="0097258C">
            <w:pPr>
              <w:pStyle w:val="TableText"/>
            </w:pPr>
          </w:p>
        </w:tc>
        <w:tc>
          <w:tcPr>
            <w:tcW w:w="624" w:type="dxa"/>
          </w:tcPr>
          <w:p w14:paraId="6DF45E2C" w14:textId="77777777" w:rsidR="0097258C" w:rsidRPr="001A0660" w:rsidRDefault="0097258C">
            <w:pPr>
              <w:pStyle w:val="TableText"/>
            </w:pPr>
          </w:p>
        </w:tc>
        <w:tc>
          <w:tcPr>
            <w:tcW w:w="624" w:type="dxa"/>
          </w:tcPr>
          <w:p w14:paraId="52CDBDBC" w14:textId="77777777" w:rsidR="0097258C" w:rsidRPr="001A0660" w:rsidRDefault="0097258C">
            <w:pPr>
              <w:pStyle w:val="TableText"/>
            </w:pPr>
          </w:p>
        </w:tc>
        <w:tc>
          <w:tcPr>
            <w:tcW w:w="624" w:type="dxa"/>
          </w:tcPr>
          <w:p w14:paraId="39F4C9F6" w14:textId="77777777" w:rsidR="0097258C" w:rsidRPr="001A0660" w:rsidRDefault="0097258C">
            <w:pPr>
              <w:pStyle w:val="TableText"/>
            </w:pPr>
          </w:p>
        </w:tc>
        <w:tc>
          <w:tcPr>
            <w:tcW w:w="624" w:type="dxa"/>
          </w:tcPr>
          <w:p w14:paraId="7EF4B516" w14:textId="77777777" w:rsidR="0097258C" w:rsidRPr="001A0660" w:rsidRDefault="0097258C">
            <w:pPr>
              <w:pStyle w:val="TableText"/>
            </w:pPr>
          </w:p>
        </w:tc>
        <w:tc>
          <w:tcPr>
            <w:tcW w:w="3402" w:type="dxa"/>
          </w:tcPr>
          <w:p w14:paraId="0CD3FB37" w14:textId="77777777" w:rsidR="0097258C" w:rsidRPr="001A0660" w:rsidRDefault="0097258C" w:rsidP="0097258C">
            <w:pPr>
              <w:pStyle w:val="TableBlock"/>
              <w:numPr>
                <w:ilvl w:val="0"/>
                <w:numId w:val="38"/>
              </w:numPr>
              <w:tabs>
                <w:tab w:val="left" w:pos="624"/>
              </w:tabs>
              <w:rPr>
                <w:rtl/>
              </w:rPr>
            </w:pPr>
            <w:r w:rsidRPr="001A0660">
              <w:rPr>
                <w:rtl/>
              </w:rPr>
              <w:t>נכס בלתי מוחשי שעיקר ההכנסה הנובעת ממנו היא הכנסה מתמלוגים, למעט נכס בלתי מוחשי המשמש במישרין להפקת הכנסה שהיא הכנסה מפעילות עתירת יגיעה אישית כהגדרתה בסעיף 62א</w:t>
            </w:r>
            <w:r w:rsidRPr="001A0660">
              <w:rPr>
                <w:rFonts w:hint="cs"/>
                <w:rtl/>
              </w:rPr>
              <w:t>;</w:t>
            </w:r>
          </w:p>
        </w:tc>
      </w:tr>
      <w:tr w:rsidR="0097258C" w:rsidRPr="001A0660" w14:paraId="06878585" w14:textId="77777777">
        <w:trPr>
          <w:cantSplit/>
          <w:trHeight w:val="60"/>
        </w:trPr>
        <w:tc>
          <w:tcPr>
            <w:tcW w:w="1871" w:type="dxa"/>
          </w:tcPr>
          <w:p w14:paraId="665E6D3E" w14:textId="77777777" w:rsidR="0097258C" w:rsidRPr="001A0660" w:rsidRDefault="0097258C">
            <w:pPr>
              <w:pStyle w:val="TableSideHeading"/>
            </w:pPr>
          </w:p>
        </w:tc>
        <w:tc>
          <w:tcPr>
            <w:tcW w:w="624" w:type="dxa"/>
          </w:tcPr>
          <w:p w14:paraId="4F91C6CE" w14:textId="77777777" w:rsidR="0097258C" w:rsidRPr="001A0660" w:rsidRDefault="0097258C" w:rsidP="0097258C">
            <w:pPr>
              <w:pStyle w:val="TableText"/>
            </w:pPr>
          </w:p>
        </w:tc>
        <w:tc>
          <w:tcPr>
            <w:tcW w:w="624" w:type="dxa"/>
          </w:tcPr>
          <w:p w14:paraId="26849A2A" w14:textId="77777777" w:rsidR="0097258C" w:rsidRPr="001A0660" w:rsidRDefault="0097258C">
            <w:pPr>
              <w:pStyle w:val="TableText"/>
            </w:pPr>
          </w:p>
        </w:tc>
        <w:tc>
          <w:tcPr>
            <w:tcW w:w="624" w:type="dxa"/>
          </w:tcPr>
          <w:p w14:paraId="481B021E" w14:textId="77777777" w:rsidR="0097258C" w:rsidRPr="001A0660" w:rsidRDefault="0097258C">
            <w:pPr>
              <w:pStyle w:val="TableText"/>
            </w:pPr>
          </w:p>
        </w:tc>
        <w:tc>
          <w:tcPr>
            <w:tcW w:w="624" w:type="dxa"/>
          </w:tcPr>
          <w:p w14:paraId="4F2D0FF7" w14:textId="77777777" w:rsidR="0097258C" w:rsidRPr="001A0660" w:rsidRDefault="0097258C">
            <w:pPr>
              <w:pStyle w:val="TableText"/>
            </w:pPr>
          </w:p>
        </w:tc>
        <w:tc>
          <w:tcPr>
            <w:tcW w:w="624" w:type="dxa"/>
          </w:tcPr>
          <w:p w14:paraId="0ECA531F" w14:textId="77777777" w:rsidR="0097258C" w:rsidRPr="001A0660" w:rsidRDefault="0097258C">
            <w:pPr>
              <w:pStyle w:val="TableText"/>
            </w:pPr>
          </w:p>
        </w:tc>
        <w:tc>
          <w:tcPr>
            <w:tcW w:w="624" w:type="dxa"/>
          </w:tcPr>
          <w:p w14:paraId="02E37E51" w14:textId="77777777" w:rsidR="0097258C" w:rsidRPr="001A0660" w:rsidRDefault="0097258C">
            <w:pPr>
              <w:pStyle w:val="TableText"/>
            </w:pPr>
          </w:p>
        </w:tc>
        <w:tc>
          <w:tcPr>
            <w:tcW w:w="624" w:type="dxa"/>
          </w:tcPr>
          <w:p w14:paraId="6C71A9C9" w14:textId="77777777" w:rsidR="0097258C" w:rsidRPr="001A0660" w:rsidRDefault="0097258C">
            <w:pPr>
              <w:pStyle w:val="TableText"/>
            </w:pPr>
          </w:p>
        </w:tc>
        <w:tc>
          <w:tcPr>
            <w:tcW w:w="3402" w:type="dxa"/>
          </w:tcPr>
          <w:p w14:paraId="5F8B8559" w14:textId="77777777" w:rsidR="0097258C" w:rsidRPr="001A0660" w:rsidRDefault="0097258C" w:rsidP="0097258C">
            <w:pPr>
              <w:pStyle w:val="TableBlock"/>
              <w:numPr>
                <w:ilvl w:val="0"/>
                <w:numId w:val="38"/>
              </w:numPr>
              <w:tabs>
                <w:tab w:val="left" w:pos="624"/>
              </w:tabs>
              <w:rPr>
                <w:rtl/>
              </w:rPr>
            </w:pPr>
            <w:r w:rsidRPr="001A0660">
              <w:rPr>
                <w:rtl/>
              </w:rPr>
              <w:t>מכשיר פיננסי כמשמעותו בכללי חשבונאות מקובלים</w:t>
            </w:r>
            <w:r w:rsidRPr="001A0660">
              <w:rPr>
                <w:rFonts w:hint="cs"/>
                <w:rtl/>
              </w:rPr>
              <w:t>;</w:t>
            </w:r>
          </w:p>
        </w:tc>
      </w:tr>
      <w:tr w:rsidR="0097258C" w:rsidRPr="001A0660" w14:paraId="0E230806" w14:textId="77777777">
        <w:trPr>
          <w:cantSplit/>
          <w:trHeight w:val="60"/>
        </w:trPr>
        <w:tc>
          <w:tcPr>
            <w:tcW w:w="1871" w:type="dxa"/>
          </w:tcPr>
          <w:p w14:paraId="1819FF28" w14:textId="77777777" w:rsidR="0097258C" w:rsidRPr="001A0660" w:rsidRDefault="0097258C">
            <w:pPr>
              <w:pStyle w:val="TableSideHeading"/>
            </w:pPr>
          </w:p>
        </w:tc>
        <w:tc>
          <w:tcPr>
            <w:tcW w:w="624" w:type="dxa"/>
          </w:tcPr>
          <w:p w14:paraId="385E7214" w14:textId="77777777" w:rsidR="0097258C" w:rsidRPr="001A0660" w:rsidRDefault="0097258C" w:rsidP="0097258C">
            <w:pPr>
              <w:pStyle w:val="TableText"/>
            </w:pPr>
          </w:p>
        </w:tc>
        <w:tc>
          <w:tcPr>
            <w:tcW w:w="624" w:type="dxa"/>
          </w:tcPr>
          <w:p w14:paraId="1A4B4D39" w14:textId="77777777" w:rsidR="0097258C" w:rsidRPr="001A0660" w:rsidRDefault="0097258C">
            <w:pPr>
              <w:pStyle w:val="TableText"/>
            </w:pPr>
          </w:p>
        </w:tc>
        <w:tc>
          <w:tcPr>
            <w:tcW w:w="624" w:type="dxa"/>
          </w:tcPr>
          <w:p w14:paraId="55DE4305" w14:textId="77777777" w:rsidR="0097258C" w:rsidRPr="001A0660" w:rsidRDefault="0097258C">
            <w:pPr>
              <w:pStyle w:val="TableText"/>
            </w:pPr>
          </w:p>
        </w:tc>
        <w:tc>
          <w:tcPr>
            <w:tcW w:w="624" w:type="dxa"/>
          </w:tcPr>
          <w:p w14:paraId="4ABE0350" w14:textId="77777777" w:rsidR="0097258C" w:rsidRPr="001A0660" w:rsidRDefault="0097258C">
            <w:pPr>
              <w:pStyle w:val="TableText"/>
            </w:pPr>
          </w:p>
        </w:tc>
        <w:tc>
          <w:tcPr>
            <w:tcW w:w="624" w:type="dxa"/>
          </w:tcPr>
          <w:p w14:paraId="7691EE7F" w14:textId="77777777" w:rsidR="0097258C" w:rsidRPr="001A0660" w:rsidRDefault="0097258C">
            <w:pPr>
              <w:pStyle w:val="TableText"/>
            </w:pPr>
          </w:p>
        </w:tc>
        <w:tc>
          <w:tcPr>
            <w:tcW w:w="624" w:type="dxa"/>
          </w:tcPr>
          <w:p w14:paraId="5777878E" w14:textId="77777777" w:rsidR="0097258C" w:rsidRPr="001A0660" w:rsidRDefault="0097258C">
            <w:pPr>
              <w:pStyle w:val="TableText"/>
            </w:pPr>
          </w:p>
        </w:tc>
        <w:tc>
          <w:tcPr>
            <w:tcW w:w="624" w:type="dxa"/>
          </w:tcPr>
          <w:p w14:paraId="1F983186" w14:textId="77777777" w:rsidR="0097258C" w:rsidRPr="001A0660" w:rsidRDefault="0097258C">
            <w:pPr>
              <w:pStyle w:val="TableText"/>
            </w:pPr>
          </w:p>
        </w:tc>
        <w:tc>
          <w:tcPr>
            <w:tcW w:w="3402" w:type="dxa"/>
          </w:tcPr>
          <w:p w14:paraId="2CB09A7A" w14:textId="77777777" w:rsidR="0097258C" w:rsidRPr="001A0660" w:rsidRDefault="0097258C" w:rsidP="0097258C">
            <w:pPr>
              <w:pStyle w:val="TableBlock"/>
              <w:numPr>
                <w:ilvl w:val="0"/>
                <w:numId w:val="38"/>
              </w:numPr>
              <w:tabs>
                <w:tab w:val="left" w:pos="624"/>
              </w:tabs>
              <w:rPr>
                <w:rtl/>
              </w:rPr>
            </w:pPr>
            <w:r w:rsidRPr="001A0660">
              <w:rPr>
                <w:rtl/>
              </w:rPr>
              <w:t>זכות במקרקעין, למעט זכות במקרקעין לשימוש עצמי</w:t>
            </w:r>
            <w:r w:rsidR="00AF3E88" w:rsidRPr="001A0660">
              <w:rPr>
                <w:rFonts w:hint="cs"/>
                <w:rtl/>
              </w:rPr>
              <w:t xml:space="preserve"> לפי כללי חשבונאות מקובלים</w:t>
            </w:r>
            <w:r w:rsidRPr="001A0660">
              <w:rPr>
                <w:rFonts w:hint="cs"/>
                <w:rtl/>
              </w:rPr>
              <w:t>;</w:t>
            </w:r>
          </w:p>
        </w:tc>
      </w:tr>
      <w:tr w:rsidR="0097258C" w:rsidRPr="001A0660" w14:paraId="5077FACD" w14:textId="77777777">
        <w:trPr>
          <w:cantSplit/>
          <w:trHeight w:val="60"/>
        </w:trPr>
        <w:tc>
          <w:tcPr>
            <w:tcW w:w="1871" w:type="dxa"/>
          </w:tcPr>
          <w:p w14:paraId="70F78F84" w14:textId="77777777" w:rsidR="0097258C" w:rsidRPr="001A0660" w:rsidRDefault="0097258C">
            <w:pPr>
              <w:pStyle w:val="TableSideHeading"/>
            </w:pPr>
          </w:p>
        </w:tc>
        <w:tc>
          <w:tcPr>
            <w:tcW w:w="624" w:type="dxa"/>
          </w:tcPr>
          <w:p w14:paraId="6449A3C7" w14:textId="77777777" w:rsidR="0097258C" w:rsidRPr="001A0660" w:rsidRDefault="0097258C" w:rsidP="0097258C">
            <w:pPr>
              <w:pStyle w:val="TableText"/>
            </w:pPr>
          </w:p>
        </w:tc>
        <w:tc>
          <w:tcPr>
            <w:tcW w:w="624" w:type="dxa"/>
          </w:tcPr>
          <w:p w14:paraId="781CE7A0" w14:textId="77777777" w:rsidR="0097258C" w:rsidRPr="001A0660" w:rsidRDefault="0097258C">
            <w:pPr>
              <w:pStyle w:val="TableText"/>
            </w:pPr>
          </w:p>
        </w:tc>
        <w:tc>
          <w:tcPr>
            <w:tcW w:w="624" w:type="dxa"/>
          </w:tcPr>
          <w:p w14:paraId="07EED945" w14:textId="77777777" w:rsidR="0097258C" w:rsidRPr="001A0660" w:rsidRDefault="0097258C">
            <w:pPr>
              <w:pStyle w:val="TableText"/>
            </w:pPr>
          </w:p>
        </w:tc>
        <w:tc>
          <w:tcPr>
            <w:tcW w:w="624" w:type="dxa"/>
          </w:tcPr>
          <w:p w14:paraId="7111CE28" w14:textId="77777777" w:rsidR="0097258C" w:rsidRPr="001A0660" w:rsidRDefault="0097258C">
            <w:pPr>
              <w:pStyle w:val="TableText"/>
            </w:pPr>
          </w:p>
        </w:tc>
        <w:tc>
          <w:tcPr>
            <w:tcW w:w="624" w:type="dxa"/>
          </w:tcPr>
          <w:p w14:paraId="531EC72C" w14:textId="77777777" w:rsidR="0097258C" w:rsidRPr="001A0660" w:rsidRDefault="0097258C">
            <w:pPr>
              <w:pStyle w:val="TableText"/>
            </w:pPr>
          </w:p>
        </w:tc>
        <w:tc>
          <w:tcPr>
            <w:tcW w:w="624" w:type="dxa"/>
          </w:tcPr>
          <w:p w14:paraId="5ECBB986" w14:textId="77777777" w:rsidR="0097258C" w:rsidRPr="001A0660" w:rsidRDefault="0097258C">
            <w:pPr>
              <w:pStyle w:val="TableText"/>
            </w:pPr>
          </w:p>
        </w:tc>
        <w:tc>
          <w:tcPr>
            <w:tcW w:w="624" w:type="dxa"/>
          </w:tcPr>
          <w:p w14:paraId="48994204" w14:textId="77777777" w:rsidR="0097258C" w:rsidRPr="001A0660" w:rsidRDefault="0097258C">
            <w:pPr>
              <w:pStyle w:val="TableText"/>
            </w:pPr>
          </w:p>
        </w:tc>
        <w:tc>
          <w:tcPr>
            <w:tcW w:w="3402" w:type="dxa"/>
          </w:tcPr>
          <w:p w14:paraId="3A86625A" w14:textId="77777777" w:rsidR="0097258C" w:rsidRPr="001A0660" w:rsidRDefault="0097258C" w:rsidP="0097258C">
            <w:pPr>
              <w:pStyle w:val="TableBlock"/>
              <w:numPr>
                <w:ilvl w:val="0"/>
                <w:numId w:val="38"/>
              </w:numPr>
              <w:tabs>
                <w:tab w:val="left" w:pos="624"/>
              </w:tabs>
              <w:rPr>
                <w:rtl/>
              </w:rPr>
            </w:pPr>
            <w:r w:rsidRPr="001A0660">
              <w:rPr>
                <w:rtl/>
              </w:rPr>
              <w:t>מלווה מדינה, פיקדון, מזומנים או שווה מזומנים</w:t>
            </w:r>
            <w:r w:rsidRPr="001A0660">
              <w:rPr>
                <w:rFonts w:hint="cs"/>
                <w:rtl/>
              </w:rPr>
              <w:t>;</w:t>
            </w:r>
          </w:p>
        </w:tc>
      </w:tr>
      <w:tr w:rsidR="0097258C" w:rsidRPr="001A0660" w14:paraId="66D8AA50" w14:textId="77777777">
        <w:trPr>
          <w:cantSplit/>
          <w:trHeight w:val="60"/>
        </w:trPr>
        <w:tc>
          <w:tcPr>
            <w:tcW w:w="1871" w:type="dxa"/>
          </w:tcPr>
          <w:p w14:paraId="25DD57BA" w14:textId="77777777" w:rsidR="0097258C" w:rsidRPr="001A0660" w:rsidRDefault="0097258C">
            <w:pPr>
              <w:pStyle w:val="TableSideHeading"/>
            </w:pPr>
          </w:p>
        </w:tc>
        <w:tc>
          <w:tcPr>
            <w:tcW w:w="624" w:type="dxa"/>
          </w:tcPr>
          <w:p w14:paraId="377B3876" w14:textId="77777777" w:rsidR="0097258C" w:rsidRPr="001A0660" w:rsidRDefault="0097258C" w:rsidP="0097258C">
            <w:pPr>
              <w:pStyle w:val="TableText"/>
            </w:pPr>
          </w:p>
        </w:tc>
        <w:tc>
          <w:tcPr>
            <w:tcW w:w="624" w:type="dxa"/>
          </w:tcPr>
          <w:p w14:paraId="0D31E20F" w14:textId="77777777" w:rsidR="0097258C" w:rsidRPr="001A0660" w:rsidRDefault="0097258C">
            <w:pPr>
              <w:pStyle w:val="TableText"/>
            </w:pPr>
          </w:p>
        </w:tc>
        <w:tc>
          <w:tcPr>
            <w:tcW w:w="624" w:type="dxa"/>
          </w:tcPr>
          <w:p w14:paraId="4DBA0F19" w14:textId="77777777" w:rsidR="0097258C" w:rsidRPr="001A0660" w:rsidRDefault="0097258C">
            <w:pPr>
              <w:pStyle w:val="TableText"/>
            </w:pPr>
          </w:p>
        </w:tc>
        <w:tc>
          <w:tcPr>
            <w:tcW w:w="624" w:type="dxa"/>
          </w:tcPr>
          <w:p w14:paraId="75E20E04" w14:textId="77777777" w:rsidR="0097258C" w:rsidRPr="001A0660" w:rsidRDefault="0097258C">
            <w:pPr>
              <w:pStyle w:val="TableText"/>
            </w:pPr>
          </w:p>
        </w:tc>
        <w:tc>
          <w:tcPr>
            <w:tcW w:w="624" w:type="dxa"/>
          </w:tcPr>
          <w:p w14:paraId="7C40AAC8" w14:textId="77777777" w:rsidR="0097258C" w:rsidRPr="001A0660" w:rsidRDefault="0097258C">
            <w:pPr>
              <w:pStyle w:val="TableText"/>
            </w:pPr>
          </w:p>
        </w:tc>
        <w:tc>
          <w:tcPr>
            <w:tcW w:w="624" w:type="dxa"/>
          </w:tcPr>
          <w:p w14:paraId="57E4BA42" w14:textId="77777777" w:rsidR="0097258C" w:rsidRPr="001A0660" w:rsidRDefault="0097258C">
            <w:pPr>
              <w:pStyle w:val="TableText"/>
            </w:pPr>
          </w:p>
        </w:tc>
        <w:tc>
          <w:tcPr>
            <w:tcW w:w="624" w:type="dxa"/>
          </w:tcPr>
          <w:p w14:paraId="7CCA5CB3" w14:textId="77777777" w:rsidR="0097258C" w:rsidRPr="001A0660" w:rsidRDefault="0097258C">
            <w:pPr>
              <w:pStyle w:val="TableText"/>
            </w:pPr>
          </w:p>
        </w:tc>
        <w:tc>
          <w:tcPr>
            <w:tcW w:w="3402" w:type="dxa"/>
          </w:tcPr>
          <w:p w14:paraId="7A53405A" w14:textId="77777777" w:rsidR="0097258C" w:rsidRPr="001A0660" w:rsidRDefault="0097258C" w:rsidP="0097258C">
            <w:pPr>
              <w:pStyle w:val="TableBlock"/>
              <w:numPr>
                <w:ilvl w:val="0"/>
                <w:numId w:val="38"/>
              </w:numPr>
              <w:tabs>
                <w:tab w:val="left" w:pos="624"/>
              </w:tabs>
              <w:rPr>
                <w:rtl/>
              </w:rPr>
            </w:pPr>
            <w:r w:rsidRPr="001A0660">
              <w:rPr>
                <w:rtl/>
              </w:rPr>
              <w:t>אמצעי השקעה אחר שקבע שר האוצר</w:t>
            </w:r>
            <w:r w:rsidRPr="001A0660">
              <w:rPr>
                <w:rFonts w:hint="cs"/>
                <w:rtl/>
              </w:rPr>
              <w:t>;</w:t>
            </w:r>
          </w:p>
        </w:tc>
      </w:tr>
      <w:tr w:rsidR="0097258C" w:rsidRPr="001A0660" w14:paraId="1EA35734" w14:textId="77777777">
        <w:trPr>
          <w:cantSplit/>
          <w:trHeight w:val="60"/>
        </w:trPr>
        <w:tc>
          <w:tcPr>
            <w:tcW w:w="1871" w:type="dxa"/>
          </w:tcPr>
          <w:p w14:paraId="210AB560" w14:textId="77777777" w:rsidR="0097258C" w:rsidRPr="001A0660" w:rsidRDefault="0097258C">
            <w:pPr>
              <w:pStyle w:val="TableSideHeading"/>
            </w:pPr>
          </w:p>
        </w:tc>
        <w:tc>
          <w:tcPr>
            <w:tcW w:w="624" w:type="dxa"/>
          </w:tcPr>
          <w:p w14:paraId="32DCF672" w14:textId="77777777" w:rsidR="0097258C" w:rsidRPr="001A0660" w:rsidRDefault="0097258C">
            <w:pPr>
              <w:pStyle w:val="TableText"/>
            </w:pPr>
          </w:p>
        </w:tc>
        <w:tc>
          <w:tcPr>
            <w:tcW w:w="624" w:type="dxa"/>
          </w:tcPr>
          <w:p w14:paraId="61E753B2" w14:textId="77777777" w:rsidR="0097258C" w:rsidRPr="001A0660" w:rsidRDefault="0097258C">
            <w:pPr>
              <w:pStyle w:val="TableText"/>
            </w:pPr>
          </w:p>
        </w:tc>
        <w:tc>
          <w:tcPr>
            <w:tcW w:w="624" w:type="dxa"/>
          </w:tcPr>
          <w:p w14:paraId="0282BD2B" w14:textId="77777777" w:rsidR="0097258C" w:rsidRPr="001A0660" w:rsidRDefault="0097258C">
            <w:pPr>
              <w:pStyle w:val="TableText"/>
            </w:pPr>
          </w:p>
        </w:tc>
        <w:tc>
          <w:tcPr>
            <w:tcW w:w="624" w:type="dxa"/>
          </w:tcPr>
          <w:p w14:paraId="6C9FC481" w14:textId="77777777" w:rsidR="0097258C" w:rsidRPr="001A0660" w:rsidRDefault="0097258C">
            <w:pPr>
              <w:pStyle w:val="TableText"/>
            </w:pPr>
          </w:p>
        </w:tc>
        <w:tc>
          <w:tcPr>
            <w:tcW w:w="624" w:type="dxa"/>
          </w:tcPr>
          <w:p w14:paraId="4842774F" w14:textId="77777777" w:rsidR="0097258C" w:rsidRPr="001A0660" w:rsidRDefault="0097258C">
            <w:pPr>
              <w:pStyle w:val="TableText"/>
            </w:pPr>
          </w:p>
        </w:tc>
        <w:tc>
          <w:tcPr>
            <w:tcW w:w="624" w:type="dxa"/>
          </w:tcPr>
          <w:p w14:paraId="38E7F894" w14:textId="77777777" w:rsidR="0097258C" w:rsidRPr="001A0660" w:rsidRDefault="0097258C">
            <w:pPr>
              <w:pStyle w:val="TableText"/>
            </w:pPr>
          </w:p>
        </w:tc>
        <w:tc>
          <w:tcPr>
            <w:tcW w:w="4026" w:type="dxa"/>
            <w:gridSpan w:val="2"/>
          </w:tcPr>
          <w:p w14:paraId="3638084E" w14:textId="77777777" w:rsidR="0097258C" w:rsidRPr="001A0660" w:rsidRDefault="00662CC1" w:rsidP="00662CC1">
            <w:pPr>
              <w:pStyle w:val="TableBlock"/>
              <w:tabs>
                <w:tab w:val="clear" w:pos="624"/>
              </w:tabs>
            </w:pPr>
            <w:r w:rsidRPr="001A0660">
              <w:rPr>
                <w:rtl/>
              </w:rPr>
              <w:t>"עלות" – יתרת המחיר המקורי כהגדרתה בסעיף 88, או יתרת שווי הרכישה כהגדרתה בסעי</w:t>
            </w:r>
            <w:r w:rsidR="00475A49">
              <w:rPr>
                <w:rFonts w:hint="cs"/>
                <w:rtl/>
              </w:rPr>
              <w:t>ף</w:t>
            </w:r>
            <w:r w:rsidRPr="001A0660">
              <w:rPr>
                <w:rtl/>
              </w:rPr>
              <w:t xml:space="preserve"> 47 לחוק מיסוי מקרקעין בתוספת הפחת, לפי</w:t>
            </w:r>
            <w:r w:rsidRPr="001A0660">
              <w:rPr>
                <w:rFonts w:hint="cs"/>
                <w:rtl/>
              </w:rPr>
              <w:t xml:space="preserve"> העניין</w:t>
            </w:r>
            <w:r w:rsidR="00475A49">
              <w:rPr>
                <w:rFonts w:hint="cs"/>
                <w:rtl/>
              </w:rPr>
              <w:t>.</w:t>
            </w:r>
          </w:p>
        </w:tc>
      </w:tr>
      <w:tr w:rsidR="00D43ADA" w:rsidRPr="001A0660" w14:paraId="120CD73E" w14:textId="77777777">
        <w:trPr>
          <w:cantSplit/>
          <w:trHeight w:val="60"/>
        </w:trPr>
        <w:tc>
          <w:tcPr>
            <w:tcW w:w="1871" w:type="dxa"/>
          </w:tcPr>
          <w:p w14:paraId="7B552893" w14:textId="77777777" w:rsidR="00D43ADA" w:rsidRPr="001A0660" w:rsidRDefault="00D43ADA">
            <w:pPr>
              <w:pStyle w:val="TableSideHeading"/>
              <w:keepLines w:val="0"/>
            </w:pPr>
          </w:p>
        </w:tc>
        <w:tc>
          <w:tcPr>
            <w:tcW w:w="624" w:type="dxa"/>
          </w:tcPr>
          <w:p w14:paraId="0D028292" w14:textId="77777777" w:rsidR="00D43ADA" w:rsidRPr="001A0660" w:rsidRDefault="00D43ADA">
            <w:pPr>
              <w:pStyle w:val="TableText"/>
              <w:keepLines w:val="0"/>
            </w:pPr>
          </w:p>
        </w:tc>
        <w:tc>
          <w:tcPr>
            <w:tcW w:w="1872" w:type="dxa"/>
            <w:gridSpan w:val="3"/>
          </w:tcPr>
          <w:p w14:paraId="3457D58F" w14:textId="77777777" w:rsidR="00D43ADA" w:rsidRPr="001A0660" w:rsidRDefault="00D43ADA">
            <w:pPr>
              <w:pStyle w:val="TableInnerSideHeading"/>
            </w:pPr>
            <w:r w:rsidRPr="001A0660">
              <w:rPr>
                <w:rFonts w:hint="cs"/>
                <w:rtl/>
              </w:rPr>
              <w:t>תוספת למס אינה מותרת בניכוי</w:t>
            </w:r>
          </w:p>
        </w:tc>
        <w:tc>
          <w:tcPr>
            <w:tcW w:w="624" w:type="dxa"/>
          </w:tcPr>
          <w:p w14:paraId="28A8A378" w14:textId="77777777" w:rsidR="00D43ADA" w:rsidRPr="001A0660" w:rsidRDefault="00D43ADA">
            <w:pPr>
              <w:pStyle w:val="TableText"/>
            </w:pPr>
            <w:r w:rsidRPr="001A0660">
              <w:rPr>
                <w:rFonts w:hint="cs"/>
                <w:rtl/>
              </w:rPr>
              <w:t>81ד</w:t>
            </w:r>
          </w:p>
        </w:tc>
        <w:tc>
          <w:tcPr>
            <w:tcW w:w="4650" w:type="dxa"/>
            <w:gridSpan w:val="3"/>
          </w:tcPr>
          <w:p w14:paraId="6894083C" w14:textId="77777777" w:rsidR="00D43ADA" w:rsidRPr="001A0660" w:rsidRDefault="00D43ADA">
            <w:pPr>
              <w:pStyle w:val="TableBlock"/>
            </w:pPr>
            <w:r w:rsidRPr="001A0660">
              <w:rPr>
                <w:rtl/>
              </w:rPr>
              <w:t>סכומים ששולמו, או שיש לשלמם, כתוספת למס לפי פרק זה, לא יותרו בניכוי בבירור הכנסתה החייבת של חברה</w:t>
            </w:r>
            <w:r w:rsidRPr="001A0660">
              <w:rPr>
                <w:rFonts w:hint="cs"/>
                <w:rtl/>
              </w:rPr>
              <w:t>.</w:t>
            </w:r>
          </w:p>
        </w:tc>
      </w:tr>
      <w:tr w:rsidR="00D43ADA" w:rsidRPr="001A0660" w14:paraId="30FD9FD2" w14:textId="77777777">
        <w:trPr>
          <w:cantSplit/>
          <w:trHeight w:val="60"/>
        </w:trPr>
        <w:tc>
          <w:tcPr>
            <w:tcW w:w="1871" w:type="dxa"/>
          </w:tcPr>
          <w:p w14:paraId="11AA1927" w14:textId="77777777" w:rsidR="00D43ADA" w:rsidRPr="001A0660" w:rsidRDefault="00D43ADA">
            <w:pPr>
              <w:pStyle w:val="TableSideHeading"/>
              <w:keepLines w:val="0"/>
            </w:pPr>
          </w:p>
        </w:tc>
        <w:tc>
          <w:tcPr>
            <w:tcW w:w="624" w:type="dxa"/>
          </w:tcPr>
          <w:p w14:paraId="4593A66A" w14:textId="77777777" w:rsidR="00D43ADA" w:rsidRPr="001A0660" w:rsidRDefault="00D43ADA">
            <w:pPr>
              <w:pStyle w:val="TableText"/>
              <w:keepLines w:val="0"/>
            </w:pPr>
          </w:p>
        </w:tc>
        <w:tc>
          <w:tcPr>
            <w:tcW w:w="1872" w:type="dxa"/>
            <w:gridSpan w:val="3"/>
          </w:tcPr>
          <w:p w14:paraId="4C6401A8" w14:textId="77777777" w:rsidR="00D43ADA" w:rsidRPr="001A0660" w:rsidRDefault="00D43ADA">
            <w:pPr>
              <w:pStyle w:val="TableInnerSideHeading"/>
            </w:pPr>
            <w:r w:rsidRPr="001A0660">
              <w:rPr>
                <w:rFonts w:hint="cs"/>
                <w:rtl/>
              </w:rPr>
              <w:t>דיווח על תוספת למס</w:t>
            </w:r>
          </w:p>
        </w:tc>
        <w:tc>
          <w:tcPr>
            <w:tcW w:w="624" w:type="dxa"/>
          </w:tcPr>
          <w:p w14:paraId="33A05902" w14:textId="77777777" w:rsidR="00D43ADA" w:rsidRPr="001A0660" w:rsidRDefault="00D43ADA">
            <w:pPr>
              <w:pStyle w:val="TableText"/>
            </w:pPr>
            <w:r w:rsidRPr="001A0660">
              <w:rPr>
                <w:rFonts w:hint="cs"/>
                <w:rtl/>
              </w:rPr>
              <w:t>81ה</w:t>
            </w:r>
          </w:p>
        </w:tc>
        <w:tc>
          <w:tcPr>
            <w:tcW w:w="4650" w:type="dxa"/>
            <w:gridSpan w:val="3"/>
          </w:tcPr>
          <w:p w14:paraId="29836670" w14:textId="77777777" w:rsidR="00D43ADA" w:rsidRPr="001A0660" w:rsidRDefault="00D43ADA">
            <w:pPr>
              <w:pStyle w:val="TableBlock"/>
            </w:pPr>
            <w:r w:rsidRPr="001A0660">
              <w:rPr>
                <w:rtl/>
              </w:rPr>
              <w:t xml:space="preserve">חברה תדווח במסגרת הדוח שהיא חייבת בו לפי סעיף 131, על סכום המס הנוסף שהיא חייבת בו, </w:t>
            </w:r>
            <w:r w:rsidR="00475A49">
              <w:rPr>
                <w:rFonts w:hint="cs"/>
                <w:rtl/>
              </w:rPr>
              <w:t xml:space="preserve">או </w:t>
            </w:r>
            <w:r w:rsidRPr="001A0660">
              <w:rPr>
                <w:rtl/>
              </w:rPr>
              <w:t xml:space="preserve">אם </w:t>
            </w:r>
            <w:r w:rsidR="00475A49">
              <w:rPr>
                <w:rFonts w:hint="cs"/>
                <w:rtl/>
              </w:rPr>
              <w:t>אינה חייבת ב</w:t>
            </w:r>
            <w:r w:rsidRPr="001A0660">
              <w:rPr>
                <w:rtl/>
              </w:rPr>
              <w:t>סכום מס נוסף, וכן תפרט את החישוב שעליו בוסס הדיווח האמור; חברה שלא דיווחה כאמור בסעיף זה, יראו אותה כאילו לא הגישה את הדוח לפי סעיף</w:t>
            </w:r>
            <w:r w:rsidRPr="001A0660">
              <w:rPr>
                <w:rFonts w:hint="cs"/>
                <w:rtl/>
              </w:rPr>
              <w:t xml:space="preserve"> 131.</w:t>
            </w:r>
          </w:p>
        </w:tc>
      </w:tr>
      <w:tr w:rsidR="00D43ADA" w:rsidRPr="001A0660" w14:paraId="271692FD" w14:textId="77777777">
        <w:trPr>
          <w:cantSplit/>
          <w:trHeight w:val="60"/>
        </w:trPr>
        <w:tc>
          <w:tcPr>
            <w:tcW w:w="1871" w:type="dxa"/>
          </w:tcPr>
          <w:p w14:paraId="0CE8F98F" w14:textId="77777777" w:rsidR="00D43ADA" w:rsidRPr="001A0660" w:rsidRDefault="00D43ADA">
            <w:pPr>
              <w:pStyle w:val="TableSideHeading"/>
              <w:keepLines w:val="0"/>
            </w:pPr>
          </w:p>
        </w:tc>
        <w:tc>
          <w:tcPr>
            <w:tcW w:w="624" w:type="dxa"/>
          </w:tcPr>
          <w:p w14:paraId="60BA9440" w14:textId="77777777" w:rsidR="00D43ADA" w:rsidRPr="001A0660" w:rsidRDefault="00D43ADA">
            <w:pPr>
              <w:pStyle w:val="TableText"/>
              <w:keepLines w:val="0"/>
            </w:pPr>
          </w:p>
        </w:tc>
        <w:tc>
          <w:tcPr>
            <w:tcW w:w="1872" w:type="dxa"/>
            <w:gridSpan w:val="3"/>
          </w:tcPr>
          <w:p w14:paraId="70D64904" w14:textId="77777777" w:rsidR="00D43ADA" w:rsidRPr="001A0660" w:rsidRDefault="00D43ADA">
            <w:pPr>
              <w:pStyle w:val="TableInnerSideHeading"/>
            </w:pPr>
            <w:r w:rsidRPr="001A0660">
              <w:rPr>
                <w:rFonts w:hint="cs"/>
                <w:rtl/>
              </w:rPr>
              <w:t>דין התוספת למס</w:t>
            </w:r>
          </w:p>
        </w:tc>
        <w:tc>
          <w:tcPr>
            <w:tcW w:w="624" w:type="dxa"/>
          </w:tcPr>
          <w:p w14:paraId="67BC22A0" w14:textId="77777777" w:rsidR="00D43ADA" w:rsidRPr="001A0660" w:rsidRDefault="00D43ADA">
            <w:pPr>
              <w:pStyle w:val="TableText"/>
            </w:pPr>
            <w:r w:rsidRPr="001A0660">
              <w:rPr>
                <w:rFonts w:hint="cs"/>
                <w:rtl/>
              </w:rPr>
              <w:t>81ו</w:t>
            </w:r>
          </w:p>
        </w:tc>
        <w:tc>
          <w:tcPr>
            <w:tcW w:w="4650" w:type="dxa"/>
            <w:gridSpan w:val="3"/>
          </w:tcPr>
          <w:p w14:paraId="37893DDA" w14:textId="77777777" w:rsidR="00D43ADA" w:rsidRPr="001A0660" w:rsidRDefault="00664D81" w:rsidP="00D43ADA">
            <w:pPr>
              <w:pStyle w:val="TableBlock"/>
              <w:numPr>
                <w:ilvl w:val="0"/>
                <w:numId w:val="40"/>
              </w:numPr>
              <w:tabs>
                <w:tab w:val="left" w:pos="624"/>
              </w:tabs>
            </w:pPr>
            <w:r w:rsidRPr="001A0660">
              <w:rPr>
                <w:rtl/>
              </w:rPr>
              <w:t xml:space="preserve">דין התוספת למס, לכל דבר וענין, כדין מס חברות, אם אין הוראה אחרת לענין </w:t>
            </w:r>
            <w:r w:rsidR="00475A49">
              <w:rPr>
                <w:rFonts w:hint="cs"/>
                <w:rtl/>
              </w:rPr>
              <w:t>זה</w:t>
            </w:r>
            <w:r w:rsidRPr="001A0660">
              <w:rPr>
                <w:rtl/>
              </w:rPr>
              <w:t>, ובלבד שלעניין חישוב המס לפי חלקים ב' עד ז', לא יראו את המס הנוסף כחלק ממס חברות</w:t>
            </w:r>
            <w:r w:rsidR="00405D59" w:rsidRPr="001A0660">
              <w:rPr>
                <w:rFonts w:hint="cs"/>
                <w:rtl/>
              </w:rPr>
              <w:t>,</w:t>
            </w:r>
          </w:p>
        </w:tc>
      </w:tr>
      <w:tr w:rsidR="00664D81" w:rsidRPr="001A0660" w14:paraId="518D2CF5" w14:textId="77777777">
        <w:trPr>
          <w:cantSplit/>
          <w:trHeight w:val="60"/>
        </w:trPr>
        <w:tc>
          <w:tcPr>
            <w:tcW w:w="1871" w:type="dxa"/>
          </w:tcPr>
          <w:p w14:paraId="2811AFA1" w14:textId="77777777" w:rsidR="00664D81" w:rsidRPr="001A0660" w:rsidRDefault="00664D81">
            <w:pPr>
              <w:pStyle w:val="TableSideHeading"/>
            </w:pPr>
          </w:p>
        </w:tc>
        <w:tc>
          <w:tcPr>
            <w:tcW w:w="624" w:type="dxa"/>
          </w:tcPr>
          <w:p w14:paraId="498B8469" w14:textId="77777777" w:rsidR="00664D81" w:rsidRPr="001A0660" w:rsidRDefault="00664D81">
            <w:pPr>
              <w:pStyle w:val="TableText"/>
            </w:pPr>
          </w:p>
        </w:tc>
        <w:tc>
          <w:tcPr>
            <w:tcW w:w="624" w:type="dxa"/>
          </w:tcPr>
          <w:p w14:paraId="08639095" w14:textId="77777777" w:rsidR="00664D81" w:rsidRPr="001A0660" w:rsidRDefault="00664D81">
            <w:pPr>
              <w:pStyle w:val="TableText"/>
            </w:pPr>
          </w:p>
        </w:tc>
        <w:tc>
          <w:tcPr>
            <w:tcW w:w="624" w:type="dxa"/>
          </w:tcPr>
          <w:p w14:paraId="6EAE4ED6" w14:textId="77777777" w:rsidR="00664D81" w:rsidRPr="001A0660" w:rsidRDefault="00664D81">
            <w:pPr>
              <w:pStyle w:val="TableText"/>
            </w:pPr>
          </w:p>
        </w:tc>
        <w:tc>
          <w:tcPr>
            <w:tcW w:w="624" w:type="dxa"/>
          </w:tcPr>
          <w:p w14:paraId="3013561D" w14:textId="77777777" w:rsidR="00664D81" w:rsidRPr="001A0660" w:rsidRDefault="00664D81">
            <w:pPr>
              <w:pStyle w:val="TableText"/>
            </w:pPr>
          </w:p>
        </w:tc>
        <w:tc>
          <w:tcPr>
            <w:tcW w:w="624" w:type="dxa"/>
          </w:tcPr>
          <w:p w14:paraId="70DB5F70" w14:textId="77777777" w:rsidR="00664D81" w:rsidRPr="001A0660" w:rsidRDefault="00664D81">
            <w:pPr>
              <w:pStyle w:val="TableText"/>
            </w:pPr>
          </w:p>
        </w:tc>
        <w:tc>
          <w:tcPr>
            <w:tcW w:w="4650" w:type="dxa"/>
            <w:gridSpan w:val="3"/>
          </w:tcPr>
          <w:p w14:paraId="2AE941C7" w14:textId="77777777" w:rsidR="00664D81" w:rsidRPr="001A0660" w:rsidRDefault="00AA0A2C" w:rsidP="00664D81">
            <w:pPr>
              <w:pStyle w:val="TableBlock"/>
              <w:numPr>
                <w:ilvl w:val="0"/>
                <w:numId w:val="40"/>
              </w:numPr>
              <w:tabs>
                <w:tab w:val="left" w:pos="624"/>
              </w:tabs>
            </w:pPr>
            <w:r w:rsidRPr="001A0660">
              <w:rPr>
                <w:rtl/>
              </w:rPr>
              <w:t>על אף האמור בסעיף קטן (א), לא יחולו בשל התוספת למס ההוראות בדבר תשלום מקדמות לפי סימן א' לפ</w:t>
            </w:r>
            <w:r w:rsidR="00475A49">
              <w:rPr>
                <w:rFonts w:hint="cs"/>
                <w:rtl/>
              </w:rPr>
              <w:t>ר</w:t>
            </w:r>
            <w:r w:rsidRPr="001A0660">
              <w:rPr>
                <w:rtl/>
              </w:rPr>
              <w:t xml:space="preserve">ק שני בחלק י'. אך השר רשאי לקבוע מקדמות על חשבון התוספת למס, ורשאי הוא לקבוע כי ההוראות לפי סעיפים 180 ו-190 יחולו על המקדמות לפי סעיף קטן זה, בשינויים </w:t>
            </w:r>
            <w:r w:rsidRPr="001A0660">
              <w:rPr>
                <w:rFonts w:hint="cs"/>
                <w:rtl/>
              </w:rPr>
              <w:t>המחויבים.</w:t>
            </w:r>
          </w:p>
        </w:tc>
      </w:tr>
      <w:tr w:rsidR="001F5AED" w:rsidRPr="001A0660" w14:paraId="2FFAEED3" w14:textId="77777777">
        <w:trPr>
          <w:cantSplit/>
          <w:trHeight w:val="60"/>
        </w:trPr>
        <w:tc>
          <w:tcPr>
            <w:tcW w:w="1871" w:type="dxa"/>
          </w:tcPr>
          <w:p w14:paraId="30029FA7" w14:textId="77777777" w:rsidR="001F5AED" w:rsidRPr="001A0660" w:rsidRDefault="001F5AED">
            <w:pPr>
              <w:pStyle w:val="TableSideHeading"/>
            </w:pPr>
          </w:p>
        </w:tc>
        <w:tc>
          <w:tcPr>
            <w:tcW w:w="624" w:type="dxa"/>
          </w:tcPr>
          <w:p w14:paraId="6FB38BAD" w14:textId="77777777" w:rsidR="001F5AED" w:rsidRPr="001A0660" w:rsidRDefault="001F5AED" w:rsidP="001F5AED">
            <w:pPr>
              <w:pStyle w:val="TableText"/>
            </w:pPr>
          </w:p>
        </w:tc>
        <w:tc>
          <w:tcPr>
            <w:tcW w:w="624" w:type="dxa"/>
          </w:tcPr>
          <w:p w14:paraId="56026D06" w14:textId="77777777" w:rsidR="001F5AED" w:rsidRPr="001A0660" w:rsidRDefault="001F5AED">
            <w:pPr>
              <w:pStyle w:val="TableText"/>
            </w:pPr>
          </w:p>
        </w:tc>
        <w:tc>
          <w:tcPr>
            <w:tcW w:w="624" w:type="dxa"/>
          </w:tcPr>
          <w:p w14:paraId="361D5EB7" w14:textId="77777777" w:rsidR="001F5AED" w:rsidRPr="001A0660" w:rsidRDefault="001F5AED">
            <w:pPr>
              <w:pStyle w:val="TableText"/>
            </w:pPr>
          </w:p>
        </w:tc>
        <w:tc>
          <w:tcPr>
            <w:tcW w:w="624" w:type="dxa"/>
          </w:tcPr>
          <w:p w14:paraId="1FC75CA9" w14:textId="77777777" w:rsidR="001F5AED" w:rsidRPr="001A0660" w:rsidRDefault="001F5AED">
            <w:pPr>
              <w:pStyle w:val="TableText"/>
            </w:pPr>
          </w:p>
        </w:tc>
        <w:tc>
          <w:tcPr>
            <w:tcW w:w="624" w:type="dxa"/>
          </w:tcPr>
          <w:p w14:paraId="3E3A927E" w14:textId="77777777" w:rsidR="001F5AED" w:rsidRPr="001A0660" w:rsidRDefault="001F5AED">
            <w:pPr>
              <w:pStyle w:val="TableText"/>
            </w:pPr>
          </w:p>
        </w:tc>
        <w:tc>
          <w:tcPr>
            <w:tcW w:w="4650" w:type="dxa"/>
            <w:gridSpan w:val="3"/>
          </w:tcPr>
          <w:p w14:paraId="6812B01B" w14:textId="77777777" w:rsidR="001F5AED" w:rsidRPr="001A0660" w:rsidRDefault="001F5AED" w:rsidP="00664D81">
            <w:pPr>
              <w:pStyle w:val="TableBlock"/>
              <w:numPr>
                <w:ilvl w:val="0"/>
                <w:numId w:val="40"/>
              </w:numPr>
              <w:tabs>
                <w:tab w:val="left" w:pos="624"/>
              </w:tabs>
              <w:rPr>
                <w:rtl/>
              </w:rPr>
            </w:pPr>
            <w:r>
              <w:rPr>
                <w:rFonts w:hint="cs"/>
                <w:rtl/>
              </w:rPr>
              <w:t xml:space="preserve">הוראות סעיף 86 יחולו </w:t>
            </w:r>
            <w:r w:rsidR="008C21E7">
              <w:rPr>
                <w:rFonts w:hint="cs"/>
                <w:rtl/>
              </w:rPr>
              <w:t>לעניין התוספת למס, בשינויים המחויבים.</w:t>
            </w:r>
          </w:p>
        </w:tc>
      </w:tr>
      <w:tr w:rsidR="00AF3E88" w:rsidRPr="001A0660" w14:paraId="7B65D939" w14:textId="77777777">
        <w:trPr>
          <w:cantSplit/>
          <w:trHeight w:val="60"/>
        </w:trPr>
        <w:tc>
          <w:tcPr>
            <w:tcW w:w="1871" w:type="dxa"/>
          </w:tcPr>
          <w:p w14:paraId="48A8E786" w14:textId="77777777" w:rsidR="00AF3E88" w:rsidRPr="001A0660" w:rsidRDefault="00AF3E88">
            <w:pPr>
              <w:pStyle w:val="TableSideHeading"/>
              <w:keepLines w:val="0"/>
            </w:pPr>
          </w:p>
        </w:tc>
        <w:tc>
          <w:tcPr>
            <w:tcW w:w="624" w:type="dxa"/>
          </w:tcPr>
          <w:p w14:paraId="12C6D57A" w14:textId="77777777" w:rsidR="00AF3E88" w:rsidRPr="001A0660" w:rsidRDefault="00AF3E88">
            <w:pPr>
              <w:pStyle w:val="TableText"/>
              <w:keepLines w:val="0"/>
            </w:pPr>
          </w:p>
        </w:tc>
        <w:tc>
          <w:tcPr>
            <w:tcW w:w="1872" w:type="dxa"/>
            <w:gridSpan w:val="3"/>
          </w:tcPr>
          <w:p w14:paraId="70F85BF8" w14:textId="77777777" w:rsidR="00AF3E88" w:rsidRPr="001A0660" w:rsidRDefault="00AF3E88">
            <w:pPr>
              <w:pStyle w:val="TableInnerSideHeading"/>
            </w:pPr>
            <w:r w:rsidRPr="001A0660">
              <w:rPr>
                <w:rFonts w:hint="cs"/>
                <w:rtl/>
              </w:rPr>
              <w:t>סמכות למיסוי בעל מניות בחברה זרה</w:t>
            </w:r>
          </w:p>
        </w:tc>
        <w:tc>
          <w:tcPr>
            <w:tcW w:w="624" w:type="dxa"/>
          </w:tcPr>
          <w:p w14:paraId="02ED3135" w14:textId="77777777" w:rsidR="00AF3E88" w:rsidRPr="001A0660" w:rsidRDefault="00AF3E88">
            <w:pPr>
              <w:pStyle w:val="TableText"/>
            </w:pPr>
            <w:r w:rsidRPr="001A0660">
              <w:rPr>
                <w:rFonts w:hint="cs"/>
                <w:rtl/>
              </w:rPr>
              <w:t>81ז</w:t>
            </w:r>
          </w:p>
        </w:tc>
        <w:tc>
          <w:tcPr>
            <w:tcW w:w="4650" w:type="dxa"/>
            <w:gridSpan w:val="3"/>
          </w:tcPr>
          <w:p w14:paraId="60857852" w14:textId="77777777" w:rsidR="00AF3E88" w:rsidRPr="001A0660" w:rsidRDefault="00AF3E88" w:rsidP="000C3AFB">
            <w:pPr>
              <w:pStyle w:val="TableBlock"/>
            </w:pPr>
            <w:r w:rsidRPr="001A0660">
              <w:rPr>
                <w:rFonts w:hint="cs"/>
                <w:rtl/>
              </w:rPr>
              <w:t>שר האוצר, באישור ועדת הכספים של הכנסת, רשאי לקבוע בתקנות מנגנון להחלת מס המקביל במהותו למס המוטל לפי סימן זה, שיחול על תושב ישראל שהוא בעל מניות מהותי בחברה זרה בשליטת תושבי ישראל שיש לה רווחים שאינם מחולקים.</w:t>
            </w:r>
            <w:r w:rsidR="000C3AFB" w:rsidRPr="001A0660">
              <w:rPr>
                <w:rFonts w:hint="cs"/>
                <w:rtl/>
              </w:rPr>
              <w:t>"</w:t>
            </w:r>
            <w:r w:rsidRPr="001A0660">
              <w:rPr>
                <w:rFonts w:hint="cs"/>
                <w:rtl/>
                <w:lang w:bidi="ar-SA"/>
              </w:rPr>
              <w:t xml:space="preserve">  </w:t>
            </w:r>
          </w:p>
        </w:tc>
      </w:tr>
      <w:tr w:rsidR="00AA0A2C" w:rsidRPr="001A0660" w14:paraId="616E6761" w14:textId="77777777">
        <w:trPr>
          <w:cantSplit/>
          <w:trHeight w:val="60"/>
        </w:trPr>
        <w:tc>
          <w:tcPr>
            <w:tcW w:w="1871" w:type="dxa"/>
          </w:tcPr>
          <w:p w14:paraId="0D4B6515" w14:textId="77777777" w:rsidR="00AA0A2C" w:rsidRPr="001A0660" w:rsidRDefault="00AA0A2C">
            <w:pPr>
              <w:pStyle w:val="TableSideHeading"/>
            </w:pPr>
          </w:p>
        </w:tc>
        <w:tc>
          <w:tcPr>
            <w:tcW w:w="624" w:type="dxa"/>
          </w:tcPr>
          <w:p w14:paraId="20719665" w14:textId="77777777" w:rsidR="00AA0A2C" w:rsidRPr="001A0660" w:rsidRDefault="00AA0A2C">
            <w:pPr>
              <w:pStyle w:val="TableText"/>
            </w:pPr>
          </w:p>
        </w:tc>
        <w:tc>
          <w:tcPr>
            <w:tcW w:w="624" w:type="dxa"/>
          </w:tcPr>
          <w:p w14:paraId="40A36A45" w14:textId="77777777" w:rsidR="00AA0A2C" w:rsidRPr="001A0660" w:rsidRDefault="00AA0A2C">
            <w:pPr>
              <w:pStyle w:val="TableText"/>
            </w:pPr>
          </w:p>
        </w:tc>
        <w:tc>
          <w:tcPr>
            <w:tcW w:w="6522" w:type="dxa"/>
            <w:gridSpan w:val="6"/>
          </w:tcPr>
          <w:p w14:paraId="5830C124" w14:textId="77777777" w:rsidR="00AA0A2C" w:rsidRPr="001A0660" w:rsidRDefault="00AA0A2C" w:rsidP="005D6FD3">
            <w:pPr>
              <w:pStyle w:val="TableBlock"/>
              <w:numPr>
                <w:ilvl w:val="0"/>
                <w:numId w:val="21"/>
              </w:numPr>
              <w:tabs>
                <w:tab w:val="left" w:pos="624"/>
              </w:tabs>
            </w:pPr>
            <w:r w:rsidRPr="001A0660">
              <w:rPr>
                <w:rFonts w:hint="cs"/>
                <w:rtl/>
              </w:rPr>
              <w:t>בסעיף 191</w:t>
            </w:r>
            <w:r w:rsidR="00475A49">
              <w:rPr>
                <w:rFonts w:hint="cs"/>
                <w:rtl/>
              </w:rPr>
              <w:t>,</w:t>
            </w:r>
            <w:r w:rsidR="005D6FD3" w:rsidRPr="001A0660">
              <w:rPr>
                <w:rFonts w:hint="cs"/>
                <w:rtl/>
              </w:rPr>
              <w:t xml:space="preserve"> במקום סעיף קטן (א)</w:t>
            </w:r>
            <w:r w:rsidR="00475A49">
              <w:rPr>
                <w:rFonts w:hint="cs"/>
                <w:rtl/>
              </w:rPr>
              <w:t xml:space="preserve"> </w:t>
            </w:r>
            <w:r w:rsidR="005D6FD3" w:rsidRPr="001A0660">
              <w:rPr>
                <w:rFonts w:hint="cs"/>
                <w:rtl/>
              </w:rPr>
              <w:t xml:space="preserve">יבוא: </w:t>
            </w:r>
          </w:p>
        </w:tc>
      </w:tr>
      <w:tr w:rsidR="005D6FD3" w:rsidRPr="001A0660" w14:paraId="6EC6C9D3" w14:textId="77777777">
        <w:trPr>
          <w:cantSplit/>
          <w:trHeight w:val="60"/>
        </w:trPr>
        <w:tc>
          <w:tcPr>
            <w:tcW w:w="1871" w:type="dxa"/>
          </w:tcPr>
          <w:p w14:paraId="6380E441" w14:textId="77777777" w:rsidR="005D6FD3" w:rsidRPr="001A0660" w:rsidRDefault="005D6FD3">
            <w:pPr>
              <w:pStyle w:val="TableSideHeading"/>
            </w:pPr>
          </w:p>
        </w:tc>
        <w:tc>
          <w:tcPr>
            <w:tcW w:w="624" w:type="dxa"/>
          </w:tcPr>
          <w:p w14:paraId="62C180A8" w14:textId="77777777" w:rsidR="005D6FD3" w:rsidRPr="001A0660" w:rsidRDefault="005D6FD3">
            <w:pPr>
              <w:pStyle w:val="TableText"/>
            </w:pPr>
          </w:p>
        </w:tc>
        <w:tc>
          <w:tcPr>
            <w:tcW w:w="624" w:type="dxa"/>
          </w:tcPr>
          <w:p w14:paraId="34718E37" w14:textId="77777777" w:rsidR="005D6FD3" w:rsidRPr="001A0660" w:rsidRDefault="005D6FD3">
            <w:pPr>
              <w:pStyle w:val="TableText"/>
            </w:pPr>
          </w:p>
        </w:tc>
        <w:tc>
          <w:tcPr>
            <w:tcW w:w="624" w:type="dxa"/>
          </w:tcPr>
          <w:p w14:paraId="03699E03" w14:textId="77777777" w:rsidR="005D6FD3" w:rsidRPr="001A0660" w:rsidRDefault="005D6FD3">
            <w:pPr>
              <w:pStyle w:val="TableText"/>
            </w:pPr>
            <w:r w:rsidRPr="001A0660">
              <w:rPr>
                <w:rFonts w:hint="cs"/>
                <w:rtl/>
              </w:rPr>
              <w:t>"(א)</w:t>
            </w:r>
          </w:p>
        </w:tc>
        <w:tc>
          <w:tcPr>
            <w:tcW w:w="5898" w:type="dxa"/>
            <w:gridSpan w:val="5"/>
          </w:tcPr>
          <w:p w14:paraId="05DF9E41" w14:textId="77777777" w:rsidR="005D6FD3" w:rsidRPr="001A0660" w:rsidRDefault="005D6FD3">
            <w:pPr>
              <w:pStyle w:val="TableBlock"/>
            </w:pPr>
            <w:r w:rsidRPr="001A0660">
              <w:rPr>
                <w:rFonts w:hint="cs"/>
                <w:rtl/>
              </w:rPr>
              <w:t xml:space="preserve">בסעיף זה, "גרעון" </w:t>
            </w:r>
            <w:r w:rsidRPr="001A0660">
              <w:rPr>
                <w:rtl/>
              </w:rPr>
              <w:t>–</w:t>
            </w:r>
            <w:r w:rsidRPr="001A0660">
              <w:rPr>
                <w:rFonts w:hint="cs"/>
                <w:rtl/>
              </w:rPr>
              <w:t xml:space="preserve"> כל אחד מאלה:</w:t>
            </w:r>
          </w:p>
        </w:tc>
      </w:tr>
      <w:tr w:rsidR="00AA0A2C" w:rsidRPr="001A0660" w14:paraId="0C3E9566" w14:textId="77777777">
        <w:trPr>
          <w:cantSplit/>
          <w:trHeight w:val="60"/>
        </w:trPr>
        <w:tc>
          <w:tcPr>
            <w:tcW w:w="1871" w:type="dxa"/>
          </w:tcPr>
          <w:p w14:paraId="5B3995EB" w14:textId="77777777" w:rsidR="00AA0A2C" w:rsidRPr="001A0660" w:rsidRDefault="00AA0A2C">
            <w:pPr>
              <w:pStyle w:val="TableSideHeading"/>
            </w:pPr>
          </w:p>
        </w:tc>
        <w:tc>
          <w:tcPr>
            <w:tcW w:w="624" w:type="dxa"/>
          </w:tcPr>
          <w:p w14:paraId="4B39325C" w14:textId="77777777" w:rsidR="00AA0A2C" w:rsidRPr="001A0660" w:rsidRDefault="00AA0A2C">
            <w:pPr>
              <w:pStyle w:val="TableText"/>
            </w:pPr>
          </w:p>
        </w:tc>
        <w:tc>
          <w:tcPr>
            <w:tcW w:w="624" w:type="dxa"/>
          </w:tcPr>
          <w:p w14:paraId="6C4DD307" w14:textId="77777777" w:rsidR="00AA0A2C" w:rsidRPr="001A0660" w:rsidRDefault="00AA0A2C">
            <w:pPr>
              <w:pStyle w:val="TableText"/>
            </w:pPr>
          </w:p>
        </w:tc>
        <w:tc>
          <w:tcPr>
            <w:tcW w:w="624" w:type="dxa"/>
          </w:tcPr>
          <w:p w14:paraId="00A5AB0F" w14:textId="77777777" w:rsidR="00AA0A2C" w:rsidRPr="001A0660" w:rsidRDefault="00AA0A2C">
            <w:pPr>
              <w:pStyle w:val="TableText"/>
            </w:pPr>
          </w:p>
        </w:tc>
        <w:tc>
          <w:tcPr>
            <w:tcW w:w="5898" w:type="dxa"/>
            <w:gridSpan w:val="5"/>
          </w:tcPr>
          <w:p w14:paraId="6EA00722" w14:textId="77777777" w:rsidR="00AA0A2C" w:rsidRPr="001A0660" w:rsidRDefault="005D6FD3" w:rsidP="005D6FD3">
            <w:pPr>
              <w:pStyle w:val="TableBlock"/>
              <w:numPr>
                <w:ilvl w:val="0"/>
                <w:numId w:val="48"/>
              </w:numPr>
              <w:tabs>
                <w:tab w:val="left" w:pos="624"/>
              </w:tabs>
            </w:pPr>
            <w:r w:rsidRPr="001A0660">
              <w:rPr>
                <w:rtl/>
              </w:rPr>
              <w:t>הסכום שבו עודף המס שנישום חייב בו על המס שהוא חייב על פי הדו"ח שלו לפי סעיף 131, או סכום המס שנקבע לפי סעיף 145(ב) אם לא הגיש דו"ח כאמור, הכל לפי הענין.</w:t>
            </w:r>
            <w:r w:rsidRPr="001A0660">
              <w:rPr>
                <w:rFonts w:hint="cs"/>
                <w:rtl/>
              </w:rPr>
              <w:t xml:space="preserve"> לענין זה, "מס" </w:t>
            </w:r>
            <w:r w:rsidRPr="001A0660">
              <w:rPr>
                <w:rtl/>
              </w:rPr>
              <w:t>–</w:t>
            </w:r>
            <w:r w:rsidRPr="001A0660">
              <w:rPr>
                <w:rFonts w:hint="cs"/>
                <w:rtl/>
              </w:rPr>
              <w:t xml:space="preserve"> ללא התוספת למס כמשמעותו בסימן ג' פרק חמישי בחלק ד' (בסעיף זה </w:t>
            </w:r>
            <w:r w:rsidRPr="001A0660">
              <w:rPr>
                <w:rtl/>
              </w:rPr>
              <w:t>–</w:t>
            </w:r>
            <w:r w:rsidRPr="001A0660">
              <w:rPr>
                <w:rFonts w:hint="cs"/>
                <w:rtl/>
              </w:rPr>
              <w:t xml:space="preserve"> תוספת למס)</w:t>
            </w:r>
            <w:r w:rsidR="00AA0A2C" w:rsidRPr="001A0660">
              <w:rPr>
                <w:rFonts w:hint="cs"/>
                <w:rtl/>
              </w:rPr>
              <w:t>;</w:t>
            </w:r>
          </w:p>
        </w:tc>
      </w:tr>
      <w:tr w:rsidR="00AA0A2C" w:rsidRPr="001A0660" w14:paraId="12CCC397" w14:textId="77777777">
        <w:trPr>
          <w:cantSplit/>
          <w:trHeight w:val="60"/>
        </w:trPr>
        <w:tc>
          <w:tcPr>
            <w:tcW w:w="1871" w:type="dxa"/>
          </w:tcPr>
          <w:p w14:paraId="57F6143D" w14:textId="77777777" w:rsidR="00AA0A2C" w:rsidRPr="001A0660" w:rsidRDefault="00AA0A2C">
            <w:pPr>
              <w:pStyle w:val="TableSideHeading"/>
            </w:pPr>
          </w:p>
        </w:tc>
        <w:tc>
          <w:tcPr>
            <w:tcW w:w="624" w:type="dxa"/>
          </w:tcPr>
          <w:p w14:paraId="16734C1E" w14:textId="77777777" w:rsidR="00AA0A2C" w:rsidRPr="001A0660" w:rsidRDefault="00AA0A2C" w:rsidP="00AA0A2C">
            <w:pPr>
              <w:pStyle w:val="TableText"/>
            </w:pPr>
          </w:p>
        </w:tc>
        <w:tc>
          <w:tcPr>
            <w:tcW w:w="624" w:type="dxa"/>
          </w:tcPr>
          <w:p w14:paraId="603BDA36" w14:textId="77777777" w:rsidR="00AA0A2C" w:rsidRPr="001A0660" w:rsidRDefault="00AA0A2C">
            <w:pPr>
              <w:pStyle w:val="TableText"/>
            </w:pPr>
          </w:p>
        </w:tc>
        <w:tc>
          <w:tcPr>
            <w:tcW w:w="624" w:type="dxa"/>
          </w:tcPr>
          <w:p w14:paraId="732F361C" w14:textId="77777777" w:rsidR="00AA0A2C" w:rsidRPr="001A0660" w:rsidRDefault="00AA0A2C">
            <w:pPr>
              <w:pStyle w:val="TableText"/>
            </w:pPr>
          </w:p>
        </w:tc>
        <w:tc>
          <w:tcPr>
            <w:tcW w:w="5898" w:type="dxa"/>
            <w:gridSpan w:val="5"/>
          </w:tcPr>
          <w:p w14:paraId="753BD0F8" w14:textId="77777777" w:rsidR="00AA0A2C" w:rsidRPr="001A0660" w:rsidRDefault="005D6FD3" w:rsidP="005D6FD3">
            <w:pPr>
              <w:pStyle w:val="TableBlock"/>
              <w:numPr>
                <w:ilvl w:val="0"/>
                <w:numId w:val="48"/>
              </w:numPr>
              <w:rPr>
                <w:rtl/>
              </w:rPr>
            </w:pPr>
            <w:r w:rsidRPr="001A0660">
              <w:rPr>
                <w:rtl/>
              </w:rPr>
              <w:t>הסכום שבו עודף סכום התוספת למס שנישום חייב בו על סכום תוספת המס שהוא חייב על פי הדו"ח שלו לפי סעיף 131, או סכום התוספת למס שנקבע לפי סעיף 145(ב) אם לא הגיש דו"ח כאמור, הכל לפי הענין.</w:t>
            </w:r>
            <w:r w:rsidRPr="001A0660">
              <w:rPr>
                <w:rFonts w:hint="cs"/>
                <w:rtl/>
              </w:rPr>
              <w:t>"</w:t>
            </w:r>
          </w:p>
        </w:tc>
      </w:tr>
      <w:tr w:rsidR="009C39CC" w:rsidRPr="001A0660" w14:paraId="21219CB5" w14:textId="77777777">
        <w:trPr>
          <w:cantSplit/>
          <w:trHeight w:val="60"/>
        </w:trPr>
        <w:tc>
          <w:tcPr>
            <w:tcW w:w="1871" w:type="dxa"/>
          </w:tcPr>
          <w:p w14:paraId="54783752" w14:textId="77777777" w:rsidR="009C39CC" w:rsidRPr="001A0660" w:rsidRDefault="009C39CC">
            <w:pPr>
              <w:pStyle w:val="TableSideHeading"/>
            </w:pPr>
            <w:bookmarkStart w:id="25" w:name="_Toc179145745"/>
            <w:bookmarkStart w:id="26" w:name="_Toc179145775"/>
            <w:r w:rsidRPr="001A0660">
              <w:rPr>
                <w:rFonts w:hint="cs"/>
                <w:rtl/>
              </w:rPr>
              <w:t>תחילה ותחולה</w:t>
            </w:r>
            <w:bookmarkEnd w:id="25"/>
            <w:bookmarkEnd w:id="26"/>
          </w:p>
        </w:tc>
        <w:tc>
          <w:tcPr>
            <w:tcW w:w="624" w:type="dxa"/>
          </w:tcPr>
          <w:p w14:paraId="22EF18DC" w14:textId="77777777" w:rsidR="009C39CC" w:rsidRPr="001A0660" w:rsidRDefault="009C39CC" w:rsidP="009C39CC">
            <w:pPr>
              <w:pStyle w:val="TableText"/>
              <w:numPr>
                <w:ilvl w:val="0"/>
                <w:numId w:val="2"/>
              </w:numPr>
            </w:pPr>
          </w:p>
        </w:tc>
        <w:tc>
          <w:tcPr>
            <w:tcW w:w="7146" w:type="dxa"/>
            <w:gridSpan w:val="7"/>
          </w:tcPr>
          <w:p w14:paraId="4999821E" w14:textId="77777777" w:rsidR="009C39CC" w:rsidRPr="001A0660" w:rsidRDefault="009C39CC" w:rsidP="009C39CC">
            <w:pPr>
              <w:pStyle w:val="TableBlock"/>
              <w:numPr>
                <w:ilvl w:val="0"/>
                <w:numId w:val="43"/>
              </w:numPr>
              <w:tabs>
                <w:tab w:val="left" w:pos="624"/>
              </w:tabs>
            </w:pPr>
            <w:r w:rsidRPr="001A0660">
              <w:rPr>
                <w:rtl/>
              </w:rPr>
              <w:t xml:space="preserve">תחילתו של סעיף 62א, כנוסחו לאחר תיקונו בחוק זה, </w:t>
            </w:r>
            <w:r w:rsidR="00BD3634">
              <w:rPr>
                <w:rFonts w:hint="cs"/>
                <w:rtl/>
              </w:rPr>
              <w:t>ב</w:t>
            </w:r>
            <w:r w:rsidRPr="001A0660">
              <w:rPr>
                <w:rtl/>
              </w:rPr>
              <w:t>יום א' בטבת התשפ"ד (1 בינואר 2025) (להלן – יום התחילה)</w:t>
            </w:r>
            <w:r w:rsidR="00BD3634">
              <w:rPr>
                <w:rFonts w:hint="cs"/>
                <w:rtl/>
              </w:rPr>
              <w:t>,</w:t>
            </w:r>
            <w:r w:rsidRPr="001A0660">
              <w:rPr>
                <w:rtl/>
              </w:rPr>
              <w:t xml:space="preserve"> </w:t>
            </w:r>
            <w:r w:rsidR="00BD3634">
              <w:rPr>
                <w:rFonts w:hint="cs"/>
                <w:rtl/>
              </w:rPr>
              <w:t>ו</w:t>
            </w:r>
            <w:r w:rsidRPr="001A0660">
              <w:rPr>
                <w:rtl/>
              </w:rPr>
              <w:t>הוא יחול על הכנסות שהופקו מיום זה ואילך.</w:t>
            </w:r>
          </w:p>
        </w:tc>
      </w:tr>
      <w:tr w:rsidR="009C39CC" w:rsidRPr="001A0660" w14:paraId="0E770A14" w14:textId="77777777">
        <w:trPr>
          <w:cantSplit/>
          <w:trHeight w:val="60"/>
        </w:trPr>
        <w:tc>
          <w:tcPr>
            <w:tcW w:w="1871" w:type="dxa"/>
          </w:tcPr>
          <w:p w14:paraId="21857D22" w14:textId="77777777" w:rsidR="009C39CC" w:rsidRPr="001A0660" w:rsidRDefault="009C39CC">
            <w:pPr>
              <w:pStyle w:val="TableSideHeading"/>
              <w:rPr>
                <w:rtl/>
              </w:rPr>
            </w:pPr>
          </w:p>
        </w:tc>
        <w:tc>
          <w:tcPr>
            <w:tcW w:w="624" w:type="dxa"/>
          </w:tcPr>
          <w:p w14:paraId="191E4FBB" w14:textId="77777777" w:rsidR="009C39CC" w:rsidRPr="001A0660" w:rsidRDefault="009C39CC" w:rsidP="009C39CC">
            <w:pPr>
              <w:pStyle w:val="TableText"/>
            </w:pPr>
          </w:p>
        </w:tc>
        <w:tc>
          <w:tcPr>
            <w:tcW w:w="7146" w:type="dxa"/>
            <w:gridSpan w:val="7"/>
          </w:tcPr>
          <w:p w14:paraId="3AE56C43" w14:textId="77777777" w:rsidR="009C39CC" w:rsidRPr="001A0660" w:rsidRDefault="009C39CC" w:rsidP="009C39CC">
            <w:pPr>
              <w:pStyle w:val="TableBlock"/>
              <w:numPr>
                <w:ilvl w:val="0"/>
                <w:numId w:val="43"/>
              </w:numPr>
              <w:tabs>
                <w:tab w:val="left" w:pos="624"/>
              </w:tabs>
              <w:rPr>
                <w:rtl/>
              </w:rPr>
            </w:pPr>
            <w:r w:rsidRPr="001A0660">
              <w:rPr>
                <w:rtl/>
              </w:rPr>
              <w:t>תחילתו של סימן ג', בפרק חמישי לחלק ד', כנוסחו בחוק זה, ביום התחילה, והוא יחול על רווחיה של חברה, לרבות רווחים שנצברו עד ליום תחילתו של חוק זה.</w:t>
            </w:r>
          </w:p>
        </w:tc>
      </w:tr>
      <w:tr w:rsidR="003C0AB5" w:rsidRPr="001A0660" w14:paraId="26EFE87A" w14:textId="77777777">
        <w:trPr>
          <w:cantSplit/>
          <w:trHeight w:val="60"/>
        </w:trPr>
        <w:tc>
          <w:tcPr>
            <w:tcW w:w="1871" w:type="dxa"/>
          </w:tcPr>
          <w:p w14:paraId="07CA5C8A" w14:textId="77777777" w:rsidR="003C0AB5" w:rsidRPr="001A0660" w:rsidRDefault="003C0AB5" w:rsidP="0093015C">
            <w:pPr>
              <w:pStyle w:val="TableSideHeading"/>
              <w:keepLines w:val="0"/>
            </w:pPr>
            <w:bookmarkStart w:id="27" w:name="_Toc179145746"/>
            <w:bookmarkStart w:id="28" w:name="_Toc179145776"/>
            <w:r w:rsidRPr="001A0660">
              <w:rPr>
                <w:rFonts w:hint="cs"/>
                <w:rtl/>
              </w:rPr>
              <w:t>הוראות מעבר</w:t>
            </w:r>
            <w:bookmarkEnd w:id="27"/>
            <w:bookmarkEnd w:id="28"/>
          </w:p>
        </w:tc>
        <w:tc>
          <w:tcPr>
            <w:tcW w:w="624" w:type="dxa"/>
          </w:tcPr>
          <w:p w14:paraId="794CC13E" w14:textId="77777777" w:rsidR="003C0AB5" w:rsidRPr="001A0660" w:rsidRDefault="003C0AB5" w:rsidP="003C0AB5">
            <w:pPr>
              <w:pStyle w:val="TableText"/>
              <w:keepLines w:val="0"/>
              <w:numPr>
                <w:ilvl w:val="0"/>
                <w:numId w:val="4"/>
              </w:numPr>
            </w:pPr>
          </w:p>
        </w:tc>
        <w:tc>
          <w:tcPr>
            <w:tcW w:w="7146" w:type="dxa"/>
            <w:gridSpan w:val="7"/>
          </w:tcPr>
          <w:p w14:paraId="109E60B0" w14:textId="77777777" w:rsidR="003C0AB5" w:rsidRPr="001A0660" w:rsidRDefault="002D74C3" w:rsidP="001A0660">
            <w:pPr>
              <w:pStyle w:val="TableBlock"/>
              <w:numPr>
                <w:ilvl w:val="0"/>
                <w:numId w:val="53"/>
              </w:numPr>
              <w:tabs>
                <w:tab w:val="left" w:pos="624"/>
              </w:tabs>
            </w:pPr>
            <w:r w:rsidRPr="001A0660">
              <w:rPr>
                <w:rtl/>
              </w:rPr>
              <w:t>חילקה חברת מעטים דיבידנד לבעלי מניותיה בשנ</w:t>
            </w:r>
            <w:r w:rsidRPr="001A0660">
              <w:rPr>
                <w:rFonts w:hint="cs"/>
                <w:rtl/>
              </w:rPr>
              <w:t>ה משנות המס</w:t>
            </w:r>
            <w:r w:rsidRPr="001A0660">
              <w:rPr>
                <w:rtl/>
              </w:rPr>
              <w:t xml:space="preserve"> 2025</w:t>
            </w:r>
            <w:r w:rsidRPr="001A0660">
              <w:rPr>
                <w:rFonts w:hint="cs"/>
                <w:rtl/>
              </w:rPr>
              <w:t xml:space="preserve"> עד 2030,</w:t>
            </w:r>
            <w:r w:rsidRPr="001A0660">
              <w:rPr>
                <w:rtl/>
              </w:rPr>
              <w:t xml:space="preserve"> שיעור</w:t>
            </w:r>
            <w:r w:rsidRPr="001A0660">
              <w:rPr>
                <w:rFonts w:hint="cs"/>
                <w:rtl/>
              </w:rPr>
              <w:t xml:space="preserve"> של 20%</w:t>
            </w:r>
            <w:r w:rsidRPr="001A0660">
              <w:rPr>
                <w:rtl/>
              </w:rPr>
              <w:t xml:space="preserve"> מסכום </w:t>
            </w:r>
            <w:r w:rsidRPr="001A0660">
              <w:rPr>
                <w:rFonts w:hint="cs"/>
                <w:rtl/>
              </w:rPr>
              <w:t xml:space="preserve">רווחיה שנותרו מיום התחילה, </w:t>
            </w:r>
            <w:r w:rsidR="003C0AB5" w:rsidRPr="001A0660">
              <w:rPr>
                <w:rtl/>
              </w:rPr>
              <w:t>למעט דיבידנד שלא נכלל בהכנסת מקבל הדיבידנד בשל הוראות סעיף 126(ב)</w:t>
            </w:r>
            <w:r w:rsidR="003C0AB5" w:rsidRPr="001A0660">
              <w:rPr>
                <w:rFonts w:hint="cs"/>
                <w:rtl/>
              </w:rPr>
              <w:t xml:space="preserve">, </w:t>
            </w:r>
            <w:r w:rsidRPr="001A0660">
              <w:rPr>
                <w:rFonts w:hint="cs"/>
                <w:rtl/>
              </w:rPr>
              <w:t xml:space="preserve">יחולו באותה שנת המס הוראות </w:t>
            </w:r>
            <w:r w:rsidR="00BD3634">
              <w:rPr>
                <w:rFonts w:hint="cs"/>
                <w:rtl/>
              </w:rPr>
              <w:t>אלה:</w:t>
            </w:r>
            <w:r w:rsidRPr="001A0660">
              <w:rPr>
                <w:rFonts w:hint="cs"/>
                <w:rtl/>
              </w:rPr>
              <w:t xml:space="preserve"> </w:t>
            </w:r>
          </w:p>
        </w:tc>
      </w:tr>
      <w:tr w:rsidR="002D74C3" w:rsidRPr="001A0660" w14:paraId="31FBFDCC" w14:textId="77777777">
        <w:trPr>
          <w:cantSplit/>
          <w:trHeight w:val="60"/>
        </w:trPr>
        <w:tc>
          <w:tcPr>
            <w:tcW w:w="1871" w:type="dxa"/>
          </w:tcPr>
          <w:p w14:paraId="5CB64E0F" w14:textId="77777777" w:rsidR="002D74C3" w:rsidRPr="001A0660" w:rsidRDefault="002D74C3" w:rsidP="002D74C3">
            <w:pPr>
              <w:pStyle w:val="TableSideHeading"/>
            </w:pPr>
          </w:p>
        </w:tc>
        <w:tc>
          <w:tcPr>
            <w:tcW w:w="624" w:type="dxa"/>
          </w:tcPr>
          <w:p w14:paraId="58DD8910" w14:textId="77777777" w:rsidR="002D74C3" w:rsidRPr="001A0660" w:rsidRDefault="002D74C3" w:rsidP="002D74C3">
            <w:pPr>
              <w:pStyle w:val="TableText"/>
            </w:pPr>
          </w:p>
        </w:tc>
        <w:tc>
          <w:tcPr>
            <w:tcW w:w="624" w:type="dxa"/>
          </w:tcPr>
          <w:p w14:paraId="45E00F11" w14:textId="77777777" w:rsidR="002D74C3" w:rsidRPr="001A0660" w:rsidRDefault="002D74C3" w:rsidP="002D74C3">
            <w:pPr>
              <w:pStyle w:val="TableText"/>
            </w:pPr>
          </w:p>
        </w:tc>
        <w:tc>
          <w:tcPr>
            <w:tcW w:w="6522" w:type="dxa"/>
            <w:gridSpan w:val="6"/>
          </w:tcPr>
          <w:p w14:paraId="3FAEDA5D" w14:textId="77777777" w:rsidR="002D74C3" w:rsidRPr="001A0660" w:rsidRDefault="002D74C3" w:rsidP="001A0660">
            <w:pPr>
              <w:pStyle w:val="TableBlock"/>
              <w:numPr>
                <w:ilvl w:val="0"/>
                <w:numId w:val="58"/>
              </w:numPr>
              <w:tabs>
                <w:tab w:val="left" w:pos="624"/>
              </w:tabs>
            </w:pPr>
            <w:r w:rsidRPr="001A0660">
              <w:rPr>
                <w:rFonts w:hint="cs"/>
                <w:rtl/>
              </w:rPr>
              <w:t>י</w:t>
            </w:r>
            <w:r w:rsidRPr="001A0660">
              <w:rPr>
                <w:rtl/>
              </w:rPr>
              <w:t>ופחת סכום הרווחים העודפים בשנת המס בגובה הרווחים שנותרו</w:t>
            </w:r>
            <w:r w:rsidRPr="001A0660">
              <w:rPr>
                <w:rFonts w:hint="cs"/>
                <w:rtl/>
              </w:rPr>
              <w:t xml:space="preserve"> מרווחי יום התחילה;</w:t>
            </w:r>
          </w:p>
        </w:tc>
      </w:tr>
      <w:tr w:rsidR="002D74C3" w:rsidRPr="001A0660" w14:paraId="0AC5DC5E" w14:textId="77777777">
        <w:trPr>
          <w:cantSplit/>
          <w:trHeight w:val="60"/>
        </w:trPr>
        <w:tc>
          <w:tcPr>
            <w:tcW w:w="1871" w:type="dxa"/>
          </w:tcPr>
          <w:p w14:paraId="2B44570C" w14:textId="77777777" w:rsidR="002D74C3" w:rsidRPr="001A0660" w:rsidRDefault="002D74C3" w:rsidP="002D74C3">
            <w:pPr>
              <w:pStyle w:val="TableSideHeading"/>
            </w:pPr>
          </w:p>
        </w:tc>
        <w:tc>
          <w:tcPr>
            <w:tcW w:w="624" w:type="dxa"/>
          </w:tcPr>
          <w:p w14:paraId="77CC3C53" w14:textId="77777777" w:rsidR="002D74C3" w:rsidRPr="001A0660" w:rsidRDefault="002D74C3" w:rsidP="002D74C3">
            <w:pPr>
              <w:pStyle w:val="TableText"/>
            </w:pPr>
          </w:p>
        </w:tc>
        <w:tc>
          <w:tcPr>
            <w:tcW w:w="624" w:type="dxa"/>
          </w:tcPr>
          <w:p w14:paraId="71333B9A" w14:textId="77777777" w:rsidR="002D74C3" w:rsidRPr="001A0660" w:rsidRDefault="002D74C3" w:rsidP="002D74C3">
            <w:pPr>
              <w:pStyle w:val="TableText"/>
            </w:pPr>
          </w:p>
        </w:tc>
        <w:tc>
          <w:tcPr>
            <w:tcW w:w="6522" w:type="dxa"/>
            <w:gridSpan w:val="6"/>
          </w:tcPr>
          <w:p w14:paraId="55828219" w14:textId="77777777" w:rsidR="002D74C3" w:rsidRPr="001A0660" w:rsidRDefault="002D74C3" w:rsidP="001A0660">
            <w:pPr>
              <w:pStyle w:val="TableBlock"/>
              <w:numPr>
                <w:ilvl w:val="0"/>
                <w:numId w:val="58"/>
              </w:numPr>
              <w:tabs>
                <w:tab w:val="left" w:pos="624"/>
              </w:tabs>
            </w:pPr>
            <w:r w:rsidRPr="001A0660">
              <w:rPr>
                <w:rtl/>
              </w:rPr>
              <w:t>יקראו את סעיף 81ב(ב)(2)</w:t>
            </w:r>
            <w:r w:rsidR="00BD3634">
              <w:rPr>
                <w:rFonts w:hint="cs"/>
                <w:rtl/>
              </w:rPr>
              <w:t>,</w:t>
            </w:r>
            <w:r w:rsidRPr="001A0660">
              <w:rPr>
                <w:rtl/>
              </w:rPr>
              <w:t xml:space="preserve"> כנוסחו ב</w:t>
            </w:r>
            <w:r w:rsidR="00BD3634">
              <w:rPr>
                <w:rFonts w:hint="cs"/>
                <w:rtl/>
              </w:rPr>
              <w:t>סעיף</w:t>
            </w:r>
            <w:r w:rsidR="00EA4D67">
              <w:rPr>
                <w:rFonts w:hint="cs"/>
                <w:rtl/>
              </w:rPr>
              <w:t xml:space="preserve"> 1</w:t>
            </w:r>
            <w:r w:rsidR="00BD3634">
              <w:rPr>
                <w:rFonts w:hint="cs"/>
                <w:rtl/>
              </w:rPr>
              <w:t xml:space="preserve"> ב</w:t>
            </w:r>
            <w:r w:rsidRPr="001A0660">
              <w:rPr>
                <w:rtl/>
              </w:rPr>
              <w:t>חוק זה</w:t>
            </w:r>
            <w:r w:rsidR="00EA4D67">
              <w:rPr>
                <w:rFonts w:hint="cs"/>
                <w:rtl/>
              </w:rPr>
              <w:t>,</w:t>
            </w:r>
            <w:r w:rsidRPr="001A0660">
              <w:rPr>
                <w:rtl/>
              </w:rPr>
              <w:t xml:space="preserve"> כך שבסו</w:t>
            </w:r>
            <w:r w:rsidRPr="001A0660">
              <w:rPr>
                <w:rFonts w:hint="cs"/>
                <w:rtl/>
              </w:rPr>
              <w:t>פו</w:t>
            </w:r>
            <w:r w:rsidRPr="001A0660">
              <w:rPr>
                <w:rtl/>
              </w:rPr>
              <w:t xml:space="preserve"> יבוא "בהפחתת הרווחים שנותרו </w:t>
            </w:r>
            <w:r w:rsidRPr="001A0660">
              <w:rPr>
                <w:rFonts w:hint="cs"/>
                <w:rtl/>
              </w:rPr>
              <w:t>מרווחי יום התחילה</w:t>
            </w:r>
            <w:r w:rsidRPr="001A0660">
              <w:rPr>
                <w:rtl/>
              </w:rPr>
              <w:t xml:space="preserve">. לעניין זה "הרווחים </w:t>
            </w:r>
            <w:r w:rsidRPr="001A0660">
              <w:rPr>
                <w:rFonts w:hint="cs"/>
                <w:rtl/>
              </w:rPr>
              <w:t>שנותרו מרווחי יום התחילה</w:t>
            </w:r>
            <w:r w:rsidRPr="001A0660">
              <w:rPr>
                <w:rtl/>
              </w:rPr>
              <w:t>" – סכום הרווחים העודפים בתום שנת 2024 בניכוי רווחים שחילקה חברת המעטים מהרווחים האמורים כדיבידנד לבעלי מניותיה למעט דיבידנד שלא נכלל בהכנסת מקבל הדיבידנד בשל הוראות סעיף 126(ב)</w:t>
            </w:r>
            <w:r w:rsidRPr="001A0660">
              <w:rPr>
                <w:rFonts w:hint="cs"/>
                <w:rtl/>
              </w:rPr>
              <w:t>".</w:t>
            </w:r>
          </w:p>
        </w:tc>
      </w:tr>
      <w:tr w:rsidR="002D74C3" w:rsidRPr="001A0660" w14:paraId="3A5C75DD" w14:textId="77777777">
        <w:trPr>
          <w:cantSplit/>
          <w:trHeight w:val="60"/>
        </w:trPr>
        <w:tc>
          <w:tcPr>
            <w:tcW w:w="1871" w:type="dxa"/>
          </w:tcPr>
          <w:p w14:paraId="63A3A91C" w14:textId="77777777" w:rsidR="002D74C3" w:rsidRPr="001A0660" w:rsidRDefault="002D74C3" w:rsidP="002D74C3">
            <w:pPr>
              <w:pStyle w:val="TableSideHeading"/>
              <w:rPr>
                <w:rtl/>
              </w:rPr>
            </w:pPr>
          </w:p>
        </w:tc>
        <w:tc>
          <w:tcPr>
            <w:tcW w:w="624" w:type="dxa"/>
          </w:tcPr>
          <w:p w14:paraId="189B8266" w14:textId="77777777" w:rsidR="002D74C3" w:rsidRPr="001A0660" w:rsidRDefault="002D74C3" w:rsidP="001A0660">
            <w:pPr>
              <w:pStyle w:val="TableText"/>
            </w:pPr>
          </w:p>
        </w:tc>
        <w:tc>
          <w:tcPr>
            <w:tcW w:w="7146" w:type="dxa"/>
            <w:gridSpan w:val="7"/>
          </w:tcPr>
          <w:p w14:paraId="20E633C3" w14:textId="77777777" w:rsidR="002D74C3" w:rsidRPr="001A0660" w:rsidRDefault="002D74C3" w:rsidP="001A0660">
            <w:pPr>
              <w:pStyle w:val="TableBlock"/>
              <w:numPr>
                <w:ilvl w:val="0"/>
                <w:numId w:val="53"/>
              </w:numPr>
              <w:tabs>
                <w:tab w:val="left" w:pos="624"/>
              </w:tabs>
              <w:rPr>
                <w:rtl/>
              </w:rPr>
            </w:pPr>
            <w:r w:rsidRPr="001A0660">
              <w:rPr>
                <w:rtl/>
              </w:rPr>
              <w:t xml:space="preserve">נוסף על האמור </w:t>
            </w:r>
            <w:r w:rsidRPr="00EA4D67">
              <w:rPr>
                <w:rFonts w:hint="cs"/>
                <w:rtl/>
              </w:rPr>
              <w:t>בסעיף קטן (א)</w:t>
            </w:r>
            <w:r w:rsidRPr="00EA4D67">
              <w:rPr>
                <w:rtl/>
              </w:rPr>
              <w:t>, חילקה חברת מעטים דיבידנד לבעלי מניותיה בשנת 2025 שיעור מרווחיה הנצברים</w:t>
            </w:r>
            <w:r w:rsidRPr="00EA4D67">
              <w:rPr>
                <w:rFonts w:hint="cs"/>
                <w:rtl/>
              </w:rPr>
              <w:t xml:space="preserve"> ביום התחילה</w:t>
            </w:r>
            <w:r w:rsidRPr="00EA4D67">
              <w:rPr>
                <w:rtl/>
              </w:rPr>
              <w:t xml:space="preserve"> כמפורט להלן, יחולו </w:t>
            </w:r>
            <w:r w:rsidRPr="001A0660">
              <w:rPr>
                <w:rtl/>
              </w:rPr>
              <w:t>ההוראות שבפסקאות (1) ו-(2)</w:t>
            </w:r>
            <w:r w:rsidRPr="001A0660">
              <w:rPr>
                <w:rFonts w:hint="cs"/>
                <w:rtl/>
              </w:rPr>
              <w:t xml:space="preserve"> בסעיף קטן (א)</w:t>
            </w:r>
            <w:r w:rsidR="00EA4D67">
              <w:rPr>
                <w:rFonts w:hint="cs"/>
                <w:rtl/>
              </w:rPr>
              <w:t xml:space="preserve"> (להלן </w:t>
            </w:r>
            <w:r w:rsidR="00EA4D67">
              <w:rPr>
                <w:rtl/>
              </w:rPr>
              <w:t>–</w:t>
            </w:r>
            <w:r w:rsidR="00EA4D67">
              <w:rPr>
                <w:rFonts w:hint="cs"/>
                <w:rtl/>
              </w:rPr>
              <w:t xml:space="preserve"> ההוראות) גם בשנות המס כמפורט להלן</w:t>
            </w:r>
            <w:r w:rsidRPr="001A0660">
              <w:rPr>
                <w:rtl/>
              </w:rPr>
              <w:t>, ובלבד שבכל אחת משנות המס 2025 ו-2026, הסכום הכולל של הכנסת עבודה, דמי ניהול, הפרשי הצמדה או ריבית ותשלומים אחרים ששולמו למקבל ההכנסה מדיבידנד על ידי החברה מחלקת הדיבידנד, במישרין או בעקיפין, בהפחתת ההכנסה מדיבידנד, לא פחת מממוצע סכום התשלומים כאמור ששולמו לו על ידי החברה האמורה, במישרין או בעקיפין, בשנות המס 2023 ו-2024</w:t>
            </w:r>
            <w:r w:rsidR="00082473">
              <w:rPr>
                <w:rFonts w:hint="cs"/>
                <w:rtl/>
              </w:rPr>
              <w:t>:</w:t>
            </w:r>
          </w:p>
        </w:tc>
      </w:tr>
      <w:tr w:rsidR="002D74C3" w:rsidRPr="001A0660" w14:paraId="594515E3" w14:textId="77777777">
        <w:trPr>
          <w:cantSplit/>
          <w:trHeight w:val="60"/>
        </w:trPr>
        <w:tc>
          <w:tcPr>
            <w:tcW w:w="1871" w:type="dxa"/>
          </w:tcPr>
          <w:p w14:paraId="082277B4" w14:textId="77777777" w:rsidR="002D74C3" w:rsidRPr="001A0660" w:rsidRDefault="002D74C3" w:rsidP="002D74C3">
            <w:pPr>
              <w:pStyle w:val="TableSideHeading"/>
            </w:pPr>
          </w:p>
        </w:tc>
        <w:tc>
          <w:tcPr>
            <w:tcW w:w="624" w:type="dxa"/>
          </w:tcPr>
          <w:p w14:paraId="2D56F4C1" w14:textId="77777777" w:rsidR="002D74C3" w:rsidRPr="001A0660" w:rsidRDefault="002D74C3" w:rsidP="002D74C3">
            <w:pPr>
              <w:pStyle w:val="TableText"/>
            </w:pPr>
          </w:p>
        </w:tc>
        <w:tc>
          <w:tcPr>
            <w:tcW w:w="624" w:type="dxa"/>
          </w:tcPr>
          <w:p w14:paraId="7BF86B13" w14:textId="77777777" w:rsidR="002D74C3" w:rsidRPr="001A0660" w:rsidRDefault="002D74C3" w:rsidP="00FD6302">
            <w:pPr>
              <w:pStyle w:val="TableBlock"/>
              <w:tabs>
                <w:tab w:val="clear" w:pos="624"/>
              </w:tabs>
            </w:pPr>
          </w:p>
        </w:tc>
        <w:tc>
          <w:tcPr>
            <w:tcW w:w="6522" w:type="dxa"/>
            <w:gridSpan w:val="6"/>
          </w:tcPr>
          <w:p w14:paraId="0430A560" w14:textId="77777777" w:rsidR="002D74C3" w:rsidRPr="001A0660" w:rsidRDefault="00EA4D67" w:rsidP="002D74C3">
            <w:pPr>
              <w:pStyle w:val="TableBlock"/>
              <w:numPr>
                <w:ilvl w:val="0"/>
                <w:numId w:val="46"/>
              </w:numPr>
              <w:tabs>
                <w:tab w:val="left" w:pos="624"/>
              </w:tabs>
              <w:rPr>
                <w:rtl/>
              </w:rPr>
            </w:pPr>
            <w:r>
              <w:rPr>
                <w:rFonts w:hint="cs"/>
                <w:rtl/>
              </w:rPr>
              <w:t xml:space="preserve"> חולק בשנת המס 2025 דיבידנד בשיעור של  </w:t>
            </w:r>
            <w:r w:rsidR="002D74C3" w:rsidRPr="001A0660">
              <w:rPr>
                <w:rFonts w:hint="cs"/>
                <w:rtl/>
              </w:rPr>
              <w:t>35</w:t>
            </w:r>
            <w:r w:rsidR="002D74C3" w:rsidRPr="001A0660">
              <w:rPr>
                <w:rtl/>
              </w:rPr>
              <w:t>%</w:t>
            </w:r>
            <w:r>
              <w:rPr>
                <w:rFonts w:hint="cs"/>
                <w:rtl/>
              </w:rPr>
              <w:t xml:space="preserve"> או יותר אך פחות מ-</w:t>
            </w:r>
            <w:r w:rsidR="002D74C3" w:rsidRPr="001A0660">
              <w:rPr>
                <w:rtl/>
              </w:rPr>
              <w:t xml:space="preserve">60% - </w:t>
            </w:r>
            <w:r>
              <w:rPr>
                <w:rFonts w:hint="cs"/>
                <w:rtl/>
              </w:rPr>
              <w:t xml:space="preserve">יחולו ההוראות </w:t>
            </w:r>
            <w:r w:rsidR="002D74C3" w:rsidRPr="001A0660">
              <w:rPr>
                <w:rtl/>
              </w:rPr>
              <w:t>בשנת המס 2026</w:t>
            </w:r>
            <w:r w:rsidR="002D74C3" w:rsidRPr="001A0660">
              <w:rPr>
                <w:rFonts w:hint="cs"/>
                <w:rtl/>
              </w:rPr>
              <w:t>;</w:t>
            </w:r>
          </w:p>
        </w:tc>
      </w:tr>
      <w:tr w:rsidR="002D74C3" w:rsidRPr="001A0660" w14:paraId="6A548F2C" w14:textId="77777777">
        <w:trPr>
          <w:cantSplit/>
          <w:trHeight w:val="60"/>
        </w:trPr>
        <w:tc>
          <w:tcPr>
            <w:tcW w:w="1871" w:type="dxa"/>
          </w:tcPr>
          <w:p w14:paraId="4A658047" w14:textId="77777777" w:rsidR="002D74C3" w:rsidRPr="001A0660" w:rsidRDefault="002D74C3" w:rsidP="002D74C3">
            <w:pPr>
              <w:pStyle w:val="TableSideHeading"/>
            </w:pPr>
          </w:p>
        </w:tc>
        <w:tc>
          <w:tcPr>
            <w:tcW w:w="624" w:type="dxa"/>
          </w:tcPr>
          <w:p w14:paraId="32F70354" w14:textId="77777777" w:rsidR="002D74C3" w:rsidRPr="001A0660" w:rsidRDefault="002D74C3" w:rsidP="002D74C3">
            <w:pPr>
              <w:pStyle w:val="TableText"/>
            </w:pPr>
          </w:p>
        </w:tc>
        <w:tc>
          <w:tcPr>
            <w:tcW w:w="624" w:type="dxa"/>
          </w:tcPr>
          <w:p w14:paraId="494777B2" w14:textId="77777777" w:rsidR="002D74C3" w:rsidRPr="001A0660" w:rsidRDefault="002D74C3" w:rsidP="002D74C3">
            <w:pPr>
              <w:pStyle w:val="TableBlock"/>
              <w:tabs>
                <w:tab w:val="clear" w:pos="624"/>
              </w:tabs>
            </w:pPr>
          </w:p>
        </w:tc>
        <w:tc>
          <w:tcPr>
            <w:tcW w:w="6522" w:type="dxa"/>
            <w:gridSpan w:val="6"/>
          </w:tcPr>
          <w:p w14:paraId="55C7BAC2" w14:textId="77777777" w:rsidR="002D74C3" w:rsidRPr="001A0660" w:rsidRDefault="00EA4D67" w:rsidP="002D74C3">
            <w:pPr>
              <w:pStyle w:val="TableBlock"/>
              <w:numPr>
                <w:ilvl w:val="0"/>
                <w:numId w:val="46"/>
              </w:numPr>
              <w:tabs>
                <w:tab w:val="left" w:pos="624"/>
              </w:tabs>
              <w:rPr>
                <w:rtl/>
              </w:rPr>
            </w:pPr>
            <w:r>
              <w:rPr>
                <w:rFonts w:hint="cs"/>
                <w:rtl/>
              </w:rPr>
              <w:t>חולק בשנת המס 2025 דיבידנד בשיעור של  60% או יותר אך פחות מ-75</w:t>
            </w:r>
            <w:r w:rsidRPr="001A0660">
              <w:rPr>
                <w:rtl/>
              </w:rPr>
              <w:t xml:space="preserve">% - </w:t>
            </w:r>
            <w:r>
              <w:rPr>
                <w:rFonts w:hint="cs"/>
                <w:rtl/>
              </w:rPr>
              <w:t xml:space="preserve">יחולו ההוראות </w:t>
            </w:r>
            <w:r w:rsidRPr="001A0660">
              <w:rPr>
                <w:rtl/>
              </w:rPr>
              <w:t>בשנ</w:t>
            </w:r>
            <w:r>
              <w:rPr>
                <w:rFonts w:hint="cs"/>
                <w:rtl/>
              </w:rPr>
              <w:t>ו</w:t>
            </w:r>
            <w:r w:rsidRPr="001A0660">
              <w:rPr>
                <w:rtl/>
              </w:rPr>
              <w:t>ת המס 2026</w:t>
            </w:r>
            <w:r>
              <w:rPr>
                <w:rFonts w:hint="cs"/>
                <w:rtl/>
              </w:rPr>
              <w:t xml:space="preserve"> ו-2027</w:t>
            </w:r>
            <w:r w:rsidRPr="001A0660">
              <w:rPr>
                <w:rFonts w:hint="cs"/>
                <w:rtl/>
              </w:rPr>
              <w:t>;</w:t>
            </w:r>
            <w:r w:rsidR="002D74C3" w:rsidRPr="001A0660">
              <w:rPr>
                <w:rtl/>
              </w:rPr>
              <w:t xml:space="preserve"> </w:t>
            </w:r>
          </w:p>
        </w:tc>
      </w:tr>
      <w:tr w:rsidR="002D74C3" w:rsidRPr="001A0660" w14:paraId="684A0FD0" w14:textId="77777777">
        <w:trPr>
          <w:cantSplit/>
          <w:trHeight w:val="60"/>
        </w:trPr>
        <w:tc>
          <w:tcPr>
            <w:tcW w:w="1871" w:type="dxa"/>
          </w:tcPr>
          <w:p w14:paraId="49057E00" w14:textId="77777777" w:rsidR="002D74C3" w:rsidRPr="001A0660" w:rsidRDefault="002D74C3" w:rsidP="002D74C3">
            <w:pPr>
              <w:pStyle w:val="TableSideHeading"/>
            </w:pPr>
          </w:p>
        </w:tc>
        <w:tc>
          <w:tcPr>
            <w:tcW w:w="624" w:type="dxa"/>
          </w:tcPr>
          <w:p w14:paraId="72BF98DE" w14:textId="77777777" w:rsidR="002D74C3" w:rsidRPr="001A0660" w:rsidRDefault="002D74C3" w:rsidP="002D74C3">
            <w:pPr>
              <w:pStyle w:val="TableText"/>
            </w:pPr>
          </w:p>
        </w:tc>
        <w:tc>
          <w:tcPr>
            <w:tcW w:w="624" w:type="dxa"/>
          </w:tcPr>
          <w:p w14:paraId="3B5878CE" w14:textId="77777777" w:rsidR="002D74C3" w:rsidRPr="001A0660" w:rsidRDefault="002D74C3" w:rsidP="002D74C3">
            <w:pPr>
              <w:pStyle w:val="TableBlock"/>
              <w:tabs>
                <w:tab w:val="clear" w:pos="624"/>
              </w:tabs>
            </w:pPr>
          </w:p>
        </w:tc>
        <w:tc>
          <w:tcPr>
            <w:tcW w:w="6522" w:type="dxa"/>
            <w:gridSpan w:val="6"/>
          </w:tcPr>
          <w:p w14:paraId="4C1F4FED" w14:textId="77777777" w:rsidR="00EA4D67" w:rsidRPr="001A0660" w:rsidRDefault="00EA4D67" w:rsidP="00EA4D67">
            <w:pPr>
              <w:pStyle w:val="TableBlock"/>
              <w:numPr>
                <w:ilvl w:val="0"/>
                <w:numId w:val="46"/>
              </w:numPr>
              <w:tabs>
                <w:tab w:val="left" w:pos="624"/>
              </w:tabs>
              <w:rPr>
                <w:rtl/>
              </w:rPr>
            </w:pPr>
            <w:r>
              <w:rPr>
                <w:rFonts w:hint="cs"/>
                <w:rtl/>
              </w:rPr>
              <w:t>חולק בשנת המס 2025 דיבידנד בשיעור של  75% או יותר אך פחות מ-90%</w:t>
            </w:r>
            <w:r w:rsidRPr="001A0660">
              <w:rPr>
                <w:rtl/>
              </w:rPr>
              <w:t xml:space="preserve"> - </w:t>
            </w:r>
            <w:r>
              <w:rPr>
                <w:rFonts w:hint="cs"/>
                <w:rtl/>
              </w:rPr>
              <w:t xml:space="preserve">יחולו ההוראות </w:t>
            </w:r>
            <w:r w:rsidRPr="001A0660">
              <w:rPr>
                <w:rtl/>
              </w:rPr>
              <w:t>בשנ</w:t>
            </w:r>
            <w:r>
              <w:rPr>
                <w:rFonts w:hint="cs"/>
                <w:rtl/>
              </w:rPr>
              <w:t>ו</w:t>
            </w:r>
            <w:r w:rsidRPr="001A0660">
              <w:rPr>
                <w:rtl/>
              </w:rPr>
              <w:t xml:space="preserve">ת המס </w:t>
            </w:r>
            <w:r>
              <w:rPr>
                <w:rFonts w:hint="cs"/>
                <w:rtl/>
              </w:rPr>
              <w:t xml:space="preserve"> </w:t>
            </w:r>
            <w:r w:rsidRPr="001A0660">
              <w:rPr>
                <w:rtl/>
              </w:rPr>
              <w:t>2026</w:t>
            </w:r>
            <w:r>
              <w:rPr>
                <w:rFonts w:hint="cs"/>
                <w:rtl/>
              </w:rPr>
              <w:t xml:space="preserve"> עד 2028</w:t>
            </w:r>
            <w:r w:rsidRPr="001A0660">
              <w:rPr>
                <w:rFonts w:hint="cs"/>
                <w:rtl/>
              </w:rPr>
              <w:t>;</w:t>
            </w:r>
          </w:p>
        </w:tc>
      </w:tr>
      <w:tr w:rsidR="002D74C3" w:rsidRPr="001A0660" w14:paraId="600CCB60" w14:textId="77777777">
        <w:trPr>
          <w:cantSplit/>
          <w:trHeight w:val="60"/>
        </w:trPr>
        <w:tc>
          <w:tcPr>
            <w:tcW w:w="1871" w:type="dxa"/>
          </w:tcPr>
          <w:p w14:paraId="7C4D7ACC" w14:textId="77777777" w:rsidR="002D74C3" w:rsidRPr="001A0660" w:rsidRDefault="002D74C3" w:rsidP="002D74C3">
            <w:pPr>
              <w:pStyle w:val="TableSideHeading"/>
            </w:pPr>
          </w:p>
        </w:tc>
        <w:tc>
          <w:tcPr>
            <w:tcW w:w="624" w:type="dxa"/>
          </w:tcPr>
          <w:p w14:paraId="436CD4F4" w14:textId="77777777" w:rsidR="002D74C3" w:rsidRPr="001A0660" w:rsidRDefault="002D74C3" w:rsidP="002D74C3">
            <w:pPr>
              <w:pStyle w:val="TableText"/>
            </w:pPr>
          </w:p>
        </w:tc>
        <w:tc>
          <w:tcPr>
            <w:tcW w:w="624" w:type="dxa"/>
          </w:tcPr>
          <w:p w14:paraId="41325D65" w14:textId="77777777" w:rsidR="002D74C3" w:rsidRPr="001A0660" w:rsidRDefault="002D74C3" w:rsidP="002D74C3">
            <w:pPr>
              <w:pStyle w:val="TableBlock"/>
              <w:tabs>
                <w:tab w:val="clear" w:pos="624"/>
              </w:tabs>
            </w:pPr>
          </w:p>
        </w:tc>
        <w:tc>
          <w:tcPr>
            <w:tcW w:w="6522" w:type="dxa"/>
            <w:gridSpan w:val="6"/>
          </w:tcPr>
          <w:p w14:paraId="4435D3D8" w14:textId="77777777" w:rsidR="002D74C3" w:rsidRPr="001A0660" w:rsidRDefault="00EA4D67" w:rsidP="002D74C3">
            <w:pPr>
              <w:pStyle w:val="TableBlock"/>
              <w:numPr>
                <w:ilvl w:val="0"/>
                <w:numId w:val="46"/>
              </w:numPr>
              <w:tabs>
                <w:tab w:val="left" w:pos="624"/>
              </w:tabs>
              <w:rPr>
                <w:rtl/>
              </w:rPr>
            </w:pPr>
            <w:r>
              <w:rPr>
                <w:rFonts w:hint="cs"/>
                <w:rtl/>
              </w:rPr>
              <w:t xml:space="preserve">חולק בשנת המס 2025 דיבידנד בשיעור של  90% </w:t>
            </w:r>
            <w:r w:rsidR="002D74C3" w:rsidRPr="001A0660">
              <w:rPr>
                <w:rtl/>
              </w:rPr>
              <w:t xml:space="preserve">ומעלה </w:t>
            </w:r>
            <w:r>
              <w:rPr>
                <w:rtl/>
              </w:rPr>
              <w:t>–</w:t>
            </w:r>
            <w:r w:rsidR="002D74C3" w:rsidRPr="001A0660">
              <w:rPr>
                <w:rtl/>
              </w:rPr>
              <w:t xml:space="preserve"> </w:t>
            </w:r>
            <w:r>
              <w:rPr>
                <w:rFonts w:hint="cs"/>
                <w:rtl/>
              </w:rPr>
              <w:t xml:space="preserve">יחולו ההוראות </w:t>
            </w:r>
            <w:r w:rsidR="002D74C3" w:rsidRPr="001A0660">
              <w:rPr>
                <w:rtl/>
              </w:rPr>
              <w:t>בשנות המס 2026 עד 2029.</w:t>
            </w:r>
          </w:p>
        </w:tc>
      </w:tr>
      <w:tr w:rsidR="002D74C3" w:rsidRPr="001A0660" w14:paraId="4EEF9F0A" w14:textId="77777777">
        <w:trPr>
          <w:cantSplit/>
          <w:trHeight w:val="60"/>
        </w:trPr>
        <w:tc>
          <w:tcPr>
            <w:tcW w:w="1871" w:type="dxa"/>
          </w:tcPr>
          <w:p w14:paraId="65E30DC5" w14:textId="77777777" w:rsidR="002D74C3" w:rsidRPr="001A0660" w:rsidRDefault="002D74C3">
            <w:pPr>
              <w:pStyle w:val="TableSideHeading"/>
            </w:pPr>
          </w:p>
        </w:tc>
        <w:tc>
          <w:tcPr>
            <w:tcW w:w="624" w:type="dxa"/>
          </w:tcPr>
          <w:p w14:paraId="52942DFC" w14:textId="77777777" w:rsidR="002D74C3" w:rsidRPr="001A0660" w:rsidRDefault="002D74C3">
            <w:pPr>
              <w:pStyle w:val="TableText"/>
            </w:pPr>
          </w:p>
        </w:tc>
        <w:tc>
          <w:tcPr>
            <w:tcW w:w="7146" w:type="dxa"/>
            <w:gridSpan w:val="7"/>
          </w:tcPr>
          <w:p w14:paraId="19B4FA36" w14:textId="77777777" w:rsidR="002D74C3" w:rsidRPr="001A0660" w:rsidRDefault="002D74C3" w:rsidP="001A0660">
            <w:pPr>
              <w:pStyle w:val="TableBlock"/>
              <w:numPr>
                <w:ilvl w:val="0"/>
                <w:numId w:val="53"/>
              </w:numPr>
            </w:pPr>
            <w:r w:rsidRPr="001A0660">
              <w:rPr>
                <w:rFonts w:hint="cs"/>
                <w:rtl/>
              </w:rPr>
              <w:t xml:space="preserve">בסעיף זה </w:t>
            </w:r>
            <w:r w:rsidRPr="001A0660">
              <w:rPr>
                <w:rtl/>
              </w:rPr>
              <w:t>–</w:t>
            </w:r>
            <w:r w:rsidRPr="001A0660">
              <w:rPr>
                <w:rFonts w:hint="cs"/>
                <w:rtl/>
              </w:rPr>
              <w:t xml:space="preserve"> </w:t>
            </w:r>
          </w:p>
        </w:tc>
      </w:tr>
      <w:tr w:rsidR="002D74C3" w:rsidRPr="001A0660" w14:paraId="2140CFCB" w14:textId="77777777">
        <w:trPr>
          <w:cantSplit/>
          <w:trHeight w:val="60"/>
        </w:trPr>
        <w:tc>
          <w:tcPr>
            <w:tcW w:w="1871" w:type="dxa"/>
          </w:tcPr>
          <w:p w14:paraId="59B53007" w14:textId="77777777" w:rsidR="002D74C3" w:rsidRPr="001A0660" w:rsidRDefault="002D74C3">
            <w:pPr>
              <w:pStyle w:val="TableSideHeading"/>
            </w:pPr>
          </w:p>
        </w:tc>
        <w:tc>
          <w:tcPr>
            <w:tcW w:w="624" w:type="dxa"/>
          </w:tcPr>
          <w:p w14:paraId="17005DE1" w14:textId="77777777" w:rsidR="002D74C3" w:rsidRPr="001A0660" w:rsidRDefault="002D74C3">
            <w:pPr>
              <w:pStyle w:val="TableText"/>
            </w:pPr>
          </w:p>
        </w:tc>
        <w:tc>
          <w:tcPr>
            <w:tcW w:w="624" w:type="dxa"/>
          </w:tcPr>
          <w:p w14:paraId="041E3258" w14:textId="77777777" w:rsidR="002D74C3" w:rsidRPr="001A0660" w:rsidRDefault="002D74C3">
            <w:pPr>
              <w:pStyle w:val="TableText"/>
            </w:pPr>
          </w:p>
        </w:tc>
        <w:tc>
          <w:tcPr>
            <w:tcW w:w="6522" w:type="dxa"/>
            <w:gridSpan w:val="6"/>
          </w:tcPr>
          <w:p w14:paraId="157E16E3" w14:textId="77777777" w:rsidR="002D74C3" w:rsidRPr="001A0660" w:rsidRDefault="002D74C3" w:rsidP="001A0660">
            <w:pPr>
              <w:pStyle w:val="TableBlock"/>
              <w:numPr>
                <w:ilvl w:val="0"/>
                <w:numId w:val="59"/>
              </w:numPr>
              <w:tabs>
                <w:tab w:val="left" w:pos="624"/>
              </w:tabs>
            </w:pPr>
            <w:r w:rsidRPr="001A0660">
              <w:rPr>
                <w:rtl/>
              </w:rPr>
              <w:t xml:space="preserve">"רווחים שנותרו מרווחי יום התחילה" – סכום הרווחים </w:t>
            </w:r>
            <w:r w:rsidRPr="001A0660">
              <w:rPr>
                <w:rFonts w:hint="eastAsia"/>
                <w:rtl/>
              </w:rPr>
              <w:t>ה</w:t>
            </w:r>
            <w:r w:rsidRPr="001A0660">
              <w:rPr>
                <w:rtl/>
              </w:rPr>
              <w:t>עודפים של חברת המעטים בתחילת שנת 2025 בניכוי רווחים שחילקה חברת המעטים מהרווחים האמורים כדיבידנד לבעלי מניותיה למעט דיבידנד שלא נכלל בהכנסת מקבל הדיבידנד בשל הוראות סעיף 126(ב).</w:t>
            </w:r>
          </w:p>
        </w:tc>
      </w:tr>
      <w:tr w:rsidR="002D74C3" w:rsidRPr="001A0660" w14:paraId="187F8BD8" w14:textId="77777777">
        <w:trPr>
          <w:cantSplit/>
          <w:trHeight w:val="60"/>
        </w:trPr>
        <w:tc>
          <w:tcPr>
            <w:tcW w:w="1871" w:type="dxa"/>
          </w:tcPr>
          <w:p w14:paraId="4E70639B" w14:textId="77777777" w:rsidR="002D74C3" w:rsidRPr="001A0660" w:rsidRDefault="002D74C3">
            <w:pPr>
              <w:pStyle w:val="TableSideHeading"/>
            </w:pPr>
          </w:p>
        </w:tc>
        <w:tc>
          <w:tcPr>
            <w:tcW w:w="624" w:type="dxa"/>
          </w:tcPr>
          <w:p w14:paraId="48AA0860" w14:textId="77777777" w:rsidR="002D74C3" w:rsidRPr="001A0660" w:rsidRDefault="002D74C3" w:rsidP="00A82A87">
            <w:pPr>
              <w:pStyle w:val="TableText"/>
            </w:pPr>
          </w:p>
        </w:tc>
        <w:tc>
          <w:tcPr>
            <w:tcW w:w="624" w:type="dxa"/>
          </w:tcPr>
          <w:p w14:paraId="3E102743" w14:textId="77777777" w:rsidR="002D74C3" w:rsidRPr="001A0660" w:rsidRDefault="002D74C3">
            <w:pPr>
              <w:pStyle w:val="TableText"/>
            </w:pPr>
          </w:p>
        </w:tc>
        <w:tc>
          <w:tcPr>
            <w:tcW w:w="6522" w:type="dxa"/>
            <w:gridSpan w:val="6"/>
          </w:tcPr>
          <w:p w14:paraId="0CBF0DC2" w14:textId="77777777" w:rsidR="002D74C3" w:rsidRPr="001A0660" w:rsidRDefault="002D74C3" w:rsidP="002D74C3">
            <w:pPr>
              <w:pStyle w:val="TableBlock"/>
              <w:numPr>
                <w:ilvl w:val="0"/>
                <w:numId w:val="59"/>
              </w:numPr>
              <w:tabs>
                <w:tab w:val="left" w:pos="624"/>
              </w:tabs>
              <w:rPr>
                <w:rtl/>
              </w:rPr>
            </w:pPr>
            <w:r w:rsidRPr="001A0660">
              <w:rPr>
                <w:rFonts w:hint="eastAsia"/>
                <w:rtl/>
              </w:rPr>
              <w:t>כל</w:t>
            </w:r>
            <w:r w:rsidRPr="001A0660">
              <w:rPr>
                <w:rtl/>
              </w:rPr>
              <w:t xml:space="preserve"> מונח אחר יפורש כמשמעותו בסימן </w:t>
            </w:r>
            <w:r w:rsidRPr="001A0660">
              <w:rPr>
                <w:rFonts w:hint="cs"/>
                <w:rtl/>
              </w:rPr>
              <w:t>ג</w:t>
            </w:r>
            <w:r w:rsidRPr="001A0660">
              <w:rPr>
                <w:rtl/>
              </w:rPr>
              <w:t>, בפרק חמישי לחלק ד', כנוסחו בחוק זה</w:t>
            </w:r>
            <w:r w:rsidRPr="001A0660">
              <w:rPr>
                <w:rFonts w:hint="cs"/>
                <w:rtl/>
              </w:rPr>
              <w:t>.</w:t>
            </w:r>
          </w:p>
        </w:tc>
      </w:tr>
      <w:tr w:rsidR="002D74C3" w:rsidRPr="001A0660" w14:paraId="1912B33E" w14:textId="77777777">
        <w:trPr>
          <w:cantSplit/>
          <w:trHeight w:val="60"/>
        </w:trPr>
        <w:tc>
          <w:tcPr>
            <w:tcW w:w="1871" w:type="dxa"/>
          </w:tcPr>
          <w:p w14:paraId="70249211" w14:textId="77777777" w:rsidR="002D74C3" w:rsidRPr="001A0660" w:rsidRDefault="002D74C3" w:rsidP="002D74C3">
            <w:pPr>
              <w:pStyle w:val="TableSideHeading"/>
            </w:pPr>
            <w:bookmarkStart w:id="29" w:name="_Toc179145747"/>
            <w:bookmarkStart w:id="30" w:name="_Toc179145777"/>
            <w:r w:rsidRPr="001A0660">
              <w:rPr>
                <w:rFonts w:hint="cs"/>
                <w:rtl/>
              </w:rPr>
              <w:t>תיקון חוק ביטוח לאומי</w:t>
            </w:r>
            <w:bookmarkEnd w:id="29"/>
            <w:bookmarkEnd w:id="30"/>
          </w:p>
        </w:tc>
        <w:tc>
          <w:tcPr>
            <w:tcW w:w="624" w:type="dxa"/>
          </w:tcPr>
          <w:p w14:paraId="460483A5" w14:textId="77777777" w:rsidR="002D74C3" w:rsidRPr="001A0660" w:rsidRDefault="002D74C3" w:rsidP="002D74C3">
            <w:pPr>
              <w:pStyle w:val="TableText"/>
              <w:numPr>
                <w:ilvl w:val="0"/>
                <w:numId w:val="2"/>
              </w:numPr>
            </w:pPr>
          </w:p>
        </w:tc>
        <w:tc>
          <w:tcPr>
            <w:tcW w:w="7146" w:type="dxa"/>
            <w:gridSpan w:val="7"/>
          </w:tcPr>
          <w:p w14:paraId="363B3951" w14:textId="77777777" w:rsidR="002D74C3" w:rsidRPr="001A0660" w:rsidRDefault="00101913" w:rsidP="00101913">
            <w:pPr>
              <w:pStyle w:val="TableBlock"/>
            </w:pPr>
            <w:r w:rsidRPr="001A0660">
              <w:rPr>
                <w:rtl/>
              </w:rPr>
              <w:t xml:space="preserve"> בחוק הביטוח הלאומי, </w:t>
            </w:r>
            <w:r w:rsidRPr="001A0660">
              <w:rPr>
                <w:rFonts w:hint="cs"/>
                <w:rtl/>
              </w:rPr>
              <w:t>התשנ"א-1995, אחרי סעיף</w:t>
            </w:r>
            <w:r w:rsidRPr="001A0660">
              <w:rPr>
                <w:rtl/>
              </w:rPr>
              <w:t xml:space="preserve"> 345</w:t>
            </w:r>
            <w:r w:rsidRPr="001A0660">
              <w:rPr>
                <w:rFonts w:hint="cs"/>
                <w:rtl/>
              </w:rPr>
              <w:t>ב</w:t>
            </w:r>
            <w:r w:rsidRPr="001A0660">
              <w:rPr>
                <w:rtl/>
              </w:rPr>
              <w:t xml:space="preserve">, </w:t>
            </w:r>
            <w:r w:rsidRPr="001A0660">
              <w:rPr>
                <w:rFonts w:hint="cs"/>
                <w:rtl/>
              </w:rPr>
              <w:t xml:space="preserve">יבוא </w:t>
            </w:r>
            <w:r w:rsidRPr="001A0660">
              <w:rPr>
                <w:rtl/>
              </w:rPr>
              <w:t>–</w:t>
            </w:r>
            <w:r w:rsidRPr="001A0660">
              <w:rPr>
                <w:rFonts w:hint="cs"/>
                <w:rtl/>
              </w:rPr>
              <w:t xml:space="preserve"> </w:t>
            </w:r>
          </w:p>
        </w:tc>
      </w:tr>
      <w:tr w:rsidR="00101913" w:rsidRPr="001A0660" w14:paraId="6378134C" w14:textId="77777777">
        <w:trPr>
          <w:cantSplit/>
          <w:trHeight w:val="60"/>
        </w:trPr>
        <w:tc>
          <w:tcPr>
            <w:tcW w:w="1871" w:type="dxa"/>
          </w:tcPr>
          <w:p w14:paraId="7D730AB1" w14:textId="77777777" w:rsidR="00101913" w:rsidRPr="001A0660" w:rsidRDefault="00101913">
            <w:pPr>
              <w:pStyle w:val="TableSideHeading"/>
              <w:keepLines w:val="0"/>
            </w:pPr>
          </w:p>
        </w:tc>
        <w:tc>
          <w:tcPr>
            <w:tcW w:w="624" w:type="dxa"/>
          </w:tcPr>
          <w:p w14:paraId="416E18D8" w14:textId="77777777" w:rsidR="00101913" w:rsidRPr="001A0660" w:rsidRDefault="00101913">
            <w:pPr>
              <w:pStyle w:val="TableText"/>
              <w:keepLines w:val="0"/>
            </w:pPr>
          </w:p>
        </w:tc>
        <w:tc>
          <w:tcPr>
            <w:tcW w:w="1872" w:type="dxa"/>
            <w:gridSpan w:val="3"/>
          </w:tcPr>
          <w:p w14:paraId="37BBE9B7" w14:textId="77777777" w:rsidR="00101913" w:rsidRPr="001A0660" w:rsidRDefault="00101913">
            <w:pPr>
              <w:pStyle w:val="TableInnerSideHeading"/>
            </w:pPr>
            <w:r w:rsidRPr="001A0660">
              <w:rPr>
                <w:rFonts w:hint="cs"/>
                <w:rtl/>
              </w:rPr>
              <w:t>"הכנסה שרואים אותה כהכנסה של בעל מניות</w:t>
            </w:r>
          </w:p>
        </w:tc>
        <w:tc>
          <w:tcPr>
            <w:tcW w:w="624" w:type="dxa"/>
          </w:tcPr>
          <w:p w14:paraId="3F01E3C1" w14:textId="77777777" w:rsidR="00101913" w:rsidRPr="001A0660" w:rsidRDefault="00101913">
            <w:pPr>
              <w:pStyle w:val="TableText"/>
            </w:pPr>
            <w:r w:rsidRPr="001A0660">
              <w:rPr>
                <w:rFonts w:hint="cs"/>
                <w:rtl/>
              </w:rPr>
              <w:t>345ג.</w:t>
            </w:r>
          </w:p>
        </w:tc>
        <w:tc>
          <w:tcPr>
            <w:tcW w:w="4650" w:type="dxa"/>
            <w:gridSpan w:val="3"/>
          </w:tcPr>
          <w:p w14:paraId="468B2786" w14:textId="77777777" w:rsidR="00101913" w:rsidRPr="001A0660" w:rsidRDefault="00101913" w:rsidP="001A0660">
            <w:pPr>
              <w:pStyle w:val="TableBlock"/>
              <w:tabs>
                <w:tab w:val="clear" w:pos="624"/>
              </w:tabs>
            </w:pPr>
            <w:r w:rsidRPr="001A0660">
              <w:rPr>
                <w:rtl/>
              </w:rPr>
              <w:t>הכנסה שלפי סעיף 62א לפקודת מס הכנסה רואים אותה כהכנסה של בעל המניות</w:t>
            </w:r>
            <w:r w:rsidRPr="001A0660">
              <w:rPr>
                <w:rFonts w:hint="cs"/>
                <w:rtl/>
              </w:rPr>
              <w:t xml:space="preserve"> תיווסף להכנסתו של עובד עצמאי ויחולו עליה ההוראות החלות על הכנסתו של עובד עצמאי."</w:t>
            </w:r>
          </w:p>
        </w:tc>
      </w:tr>
    </w:tbl>
    <w:p w14:paraId="10893FBA" w14:textId="77777777" w:rsidR="001F51EF" w:rsidRPr="001A0660" w:rsidRDefault="001F51EF" w:rsidP="00D36340"/>
    <w:p w14:paraId="7C5E725F" w14:textId="77777777" w:rsidR="001F51EF" w:rsidRPr="001A0660" w:rsidRDefault="001F51EF" w:rsidP="00D36340">
      <w:pPr>
        <w:pStyle w:val="HeadDivreiHesber"/>
        <w:rPr>
          <w:rtl/>
        </w:rPr>
      </w:pPr>
      <w:bookmarkStart w:id="31" w:name="_Toc179145748"/>
      <w:bookmarkStart w:id="32" w:name="_Toc179145778"/>
      <w:r w:rsidRPr="001A0660">
        <w:rPr>
          <w:rtl/>
        </w:rPr>
        <w:t>דברי הסבר</w:t>
      </w:r>
      <w:bookmarkEnd w:id="31"/>
      <w:bookmarkEnd w:id="32"/>
    </w:p>
    <w:p w14:paraId="4E56A25E" w14:textId="77777777" w:rsidR="00D36340" w:rsidRPr="001A0660" w:rsidRDefault="00D36340" w:rsidP="00D36340">
      <w:pPr>
        <w:pStyle w:val="Hesber1st"/>
        <w:rPr>
          <w:b/>
          <w:bCs/>
          <w:rtl/>
        </w:rPr>
      </w:pPr>
      <w:r w:rsidRPr="001A0660">
        <w:rPr>
          <w:rFonts w:hint="cs"/>
          <w:b/>
          <w:bCs/>
          <w:rtl/>
        </w:rPr>
        <w:t>לסעיף 1 - כללי</w:t>
      </w:r>
    </w:p>
    <w:p w14:paraId="6C9FD3BA" w14:textId="77777777" w:rsidR="00D36340" w:rsidRPr="001A0660" w:rsidRDefault="00D36340" w:rsidP="00D36340">
      <w:pPr>
        <w:pStyle w:val="Hesber1st"/>
        <w:rPr>
          <w:rtl/>
        </w:rPr>
      </w:pPr>
      <w:r w:rsidRPr="001A0660">
        <w:rPr>
          <w:rFonts w:hint="cs"/>
          <w:rtl/>
        </w:rPr>
        <w:t>בישראל, כפי שמקובל במדינות רבות בעולם, משטר המס החל על חברות הוא דו-שלבי.</w:t>
      </w:r>
      <w:r w:rsidRPr="001A0660">
        <w:rPr>
          <w:rtl/>
        </w:rPr>
        <w:t xml:space="preserve"> </w:t>
      </w:r>
      <w:r w:rsidRPr="001A0660">
        <w:rPr>
          <w:rFonts w:hint="cs"/>
          <w:rtl/>
        </w:rPr>
        <w:t>תחת משטר זה, בשלב הראשון נגבה מס חברות (23% לרוב) על רווחים המופקים באותה שנה, ובשלב השני, כאשר בעלי החברה מחליטים למשוך את הרווחים מהחברה ואל היחיד כדיבידנד, נגבה מס דיבידנד ממקבלי הדיבידנד. שיעור המס החל על דיבידנד שמקבלים בעלי המניות המהותיים הוא בגובה 30%, ושיעור המס החל על</w:t>
      </w:r>
      <w:r w:rsidR="00CA5B93" w:rsidRPr="001A0660">
        <w:rPr>
          <w:rFonts w:hint="cs"/>
          <w:rtl/>
        </w:rPr>
        <w:t xml:space="preserve"> דיבידנד שמקבלים</w:t>
      </w:r>
      <w:r w:rsidRPr="001A0660">
        <w:rPr>
          <w:rFonts w:hint="cs"/>
          <w:rtl/>
        </w:rPr>
        <w:t xml:space="preserve"> בעלי המניות האחרים הוא 25%. כך, בשכלול שני השלבים </w:t>
      </w:r>
      <w:r w:rsidRPr="001A0660">
        <w:rPr>
          <w:rtl/>
        </w:rPr>
        <w:t>–</w:t>
      </w:r>
      <w:r w:rsidRPr="001A0660">
        <w:rPr>
          <w:rFonts w:hint="cs"/>
          <w:rtl/>
        </w:rPr>
        <w:t xml:space="preserve"> מס החברות והמס על הדיבידנד לבעל מניות מהותי </w:t>
      </w:r>
      <w:r w:rsidRPr="001A0660">
        <w:rPr>
          <w:rtl/>
        </w:rPr>
        <w:t>–</w:t>
      </w:r>
      <w:r w:rsidRPr="001A0660">
        <w:rPr>
          <w:rFonts w:hint="cs"/>
          <w:rtl/>
        </w:rPr>
        <w:t xml:space="preserve"> שיעור המס המוטל על ההכנסה עומד על כ-46%, ואם בעל המניות המהותי חב במס יסף שיעור המס עומד על קצת יותר מ-48%. </w:t>
      </w:r>
    </w:p>
    <w:p w14:paraId="4A8A6FC5" w14:textId="77777777" w:rsidR="00D36340" w:rsidRPr="001A0660" w:rsidRDefault="00D36340" w:rsidP="00D36340">
      <w:pPr>
        <w:pStyle w:val="Hesber1st"/>
        <w:ind w:firstLine="720"/>
        <w:rPr>
          <w:rtl/>
        </w:rPr>
      </w:pPr>
      <w:r w:rsidRPr="001A0660">
        <w:rPr>
          <w:rFonts w:hint="cs"/>
          <w:rtl/>
        </w:rPr>
        <w:t>הרציונל העומד מאחורי שיטת</w:t>
      </w:r>
      <w:r w:rsidRPr="001A0660">
        <w:rPr>
          <w:rtl/>
        </w:rPr>
        <w:t xml:space="preserve"> המיסוי הדו־שלבי במיסוי חברות</w:t>
      </w:r>
      <w:r w:rsidRPr="001A0660">
        <w:rPr>
          <w:rFonts w:hint="cs"/>
          <w:rtl/>
        </w:rPr>
        <w:t xml:space="preserve"> הוא עיקרון ה</w:t>
      </w:r>
      <w:r w:rsidRPr="001A0660">
        <w:rPr>
          <w:rtl/>
        </w:rPr>
        <w:t xml:space="preserve">שקילות </w:t>
      </w:r>
      <w:r w:rsidRPr="001A0660">
        <w:rPr>
          <w:rFonts w:hint="cs"/>
          <w:rtl/>
        </w:rPr>
        <w:t>ה</w:t>
      </w:r>
      <w:r w:rsidRPr="001A0660">
        <w:rPr>
          <w:rtl/>
        </w:rPr>
        <w:t>מיסויית שלפי</w:t>
      </w:r>
      <w:r w:rsidRPr="001A0660">
        <w:rPr>
          <w:rFonts w:hint="cs"/>
          <w:rtl/>
        </w:rPr>
        <w:t>ו</w:t>
      </w:r>
      <w:r w:rsidRPr="001A0660">
        <w:rPr>
          <w:rtl/>
        </w:rPr>
        <w:t xml:space="preserve"> יצומצם ההבדל בין שיעורי המס החלים על הכנסה המופקת בידי יחיד לבין אותה הכנסה המופקת בידו באמצעות חברה.</w:t>
      </w:r>
      <w:r w:rsidRPr="001A0660">
        <w:rPr>
          <w:rFonts w:hint="cs"/>
          <w:rtl/>
        </w:rPr>
        <w:t xml:space="preserve"> המס השולי המוטל על יחידים (שכירים ועצמאים) עומד על כ-50% בהכנסות גבוהות</w:t>
      </w:r>
      <w:r w:rsidR="00CA5B93" w:rsidRPr="001A0660">
        <w:rPr>
          <w:rFonts w:hint="cs"/>
          <w:rtl/>
        </w:rPr>
        <w:t>, וזהו</w:t>
      </w:r>
      <w:r w:rsidRPr="001A0660">
        <w:rPr>
          <w:rFonts w:hint="cs"/>
          <w:rtl/>
        </w:rPr>
        <w:t xml:space="preserve"> שיעור מקורב לשיעור המס הכולל המשולם על ידי בעל מניות מהותי בהפקת ההכנסה על ידי חברה. כך, אופן הפקת ההכנסה </w:t>
      </w:r>
      <w:r w:rsidRPr="001A0660">
        <w:rPr>
          <w:rtl/>
        </w:rPr>
        <w:t>–</w:t>
      </w:r>
      <w:r w:rsidRPr="001A0660">
        <w:rPr>
          <w:rFonts w:hint="cs"/>
          <w:rtl/>
        </w:rPr>
        <w:t xml:space="preserve"> באמצעות חברה או באופן ישיר, לא משפיע על גובה המס אשר יוטל על הפעילות, ולא </w:t>
      </w:r>
      <w:r w:rsidR="00CA5B93" w:rsidRPr="001A0660">
        <w:rPr>
          <w:rFonts w:hint="cs"/>
          <w:rtl/>
        </w:rPr>
        <w:t xml:space="preserve">נוצר </w:t>
      </w:r>
      <w:r w:rsidRPr="001A0660">
        <w:rPr>
          <w:rFonts w:hint="cs"/>
          <w:rtl/>
        </w:rPr>
        <w:t xml:space="preserve">תמריץ חיובי או שלילי ליחידים להתאגד כחברות רק לצורך תכנון מס. </w:t>
      </w:r>
    </w:p>
    <w:p w14:paraId="3BEEB34E" w14:textId="77777777" w:rsidR="00D36340" w:rsidRPr="001A0660" w:rsidRDefault="00D36340" w:rsidP="00D36340">
      <w:pPr>
        <w:pStyle w:val="Hesber1st"/>
        <w:ind w:firstLine="720"/>
        <w:rPr>
          <w:rtl/>
        </w:rPr>
      </w:pPr>
      <w:r w:rsidRPr="001A0660">
        <w:rPr>
          <w:rFonts w:hint="cs"/>
          <w:rtl/>
        </w:rPr>
        <w:t>עם זאת, שיטת המיסוי הדו</w:t>
      </w:r>
      <w:r w:rsidR="006F6B26" w:rsidRPr="001A0660">
        <w:rPr>
          <w:rFonts w:hint="cs"/>
          <w:rtl/>
        </w:rPr>
        <w:t>-</w:t>
      </w:r>
      <w:r w:rsidRPr="001A0660">
        <w:rPr>
          <w:rFonts w:hint="cs"/>
          <w:rtl/>
        </w:rPr>
        <w:t>שלבי, מייצרת יתרון מובהק לפעילות באמצעות חברה בהתייחס לעיתוי תשלום המס על ההכנסה. בעוד עצמאי נדרש לשלם את כלל המס החל עליו במועד הפקת ההכנסה, ב</w:t>
      </w:r>
      <w:r w:rsidRPr="001A0660">
        <w:rPr>
          <w:rtl/>
        </w:rPr>
        <w:t xml:space="preserve">פעילות באמצעות חברה, </w:t>
      </w:r>
      <w:r w:rsidRPr="001A0660">
        <w:rPr>
          <w:rFonts w:hint="cs"/>
          <w:rtl/>
        </w:rPr>
        <w:t>נדחה תשלום המס עד המועד שבו הרווחים מחולקים לבעלי המניות.</w:t>
      </w:r>
      <w:r w:rsidRPr="001A0660">
        <w:rPr>
          <w:rtl/>
        </w:rPr>
        <w:t xml:space="preserve"> </w:t>
      </w:r>
      <w:r w:rsidRPr="001A0660">
        <w:rPr>
          <w:rFonts w:hint="cs"/>
          <w:rtl/>
        </w:rPr>
        <w:t xml:space="preserve">המדינה רואה יתרון בדחיית מועד תשלום המס בשלב השני בכך </w:t>
      </w:r>
      <w:r w:rsidR="006F6B26" w:rsidRPr="001A0660">
        <w:rPr>
          <w:rFonts w:hint="cs"/>
          <w:rtl/>
        </w:rPr>
        <w:t xml:space="preserve">שהדחייה </w:t>
      </w:r>
      <w:r w:rsidRPr="001A0660">
        <w:rPr>
          <w:rFonts w:hint="cs"/>
          <w:rtl/>
        </w:rPr>
        <w:t>מייצר</w:t>
      </w:r>
      <w:r w:rsidR="006F6B26" w:rsidRPr="001A0660">
        <w:rPr>
          <w:rFonts w:hint="cs"/>
          <w:rtl/>
        </w:rPr>
        <w:t>ת</w:t>
      </w:r>
      <w:r w:rsidRPr="001A0660">
        <w:rPr>
          <w:rFonts w:hint="cs"/>
          <w:rtl/>
        </w:rPr>
        <w:t xml:space="preserve"> תמריץ מיסויי לחברה לבצע השקעות ולהגדיל את פעילותה. באופן זה, המדינה "מוותרת" למשך תקופה על מס הדיבידנד ומשתתפת למעשה במימון ההשקעה, תוך הבנה כי הדבר יביא להגדלת הפעילות הריאלית במשק, עידוד צמיחה והגדלת הרווחה בטווח הארוך, שתתבטא גם בהכנסות ממס בהמשך.</w:t>
      </w:r>
    </w:p>
    <w:p w14:paraId="4F618FE7" w14:textId="77777777" w:rsidR="00D36340" w:rsidRPr="001A0660" w:rsidRDefault="00D36340" w:rsidP="00D36340">
      <w:pPr>
        <w:pStyle w:val="Hesber1st"/>
        <w:ind w:firstLine="720"/>
        <w:rPr>
          <w:rtl/>
        </w:rPr>
      </w:pPr>
      <w:r w:rsidRPr="001A0660">
        <w:rPr>
          <w:rtl/>
        </w:rPr>
        <w:t>יחד עם זאת, בפועל</w:t>
      </w:r>
      <w:r w:rsidRPr="001A0660">
        <w:rPr>
          <w:rFonts w:hint="cs"/>
          <w:rtl/>
        </w:rPr>
        <w:t xml:space="preserve">, </w:t>
      </w:r>
      <w:r w:rsidRPr="001A0660">
        <w:rPr>
          <w:rtl/>
        </w:rPr>
        <w:t>כתוצאה ממערך התמריצים הקיים, חלק מהחברות צוברות את הרווחים (לאחר תשלום מס חברות) ובוחרות להשקיען בהשקעות פסיביות (בעיקר בשוק ההון ובנדל"ן) ולא בהשקעות ריאליות</w:t>
      </w:r>
      <w:r w:rsidRPr="001A0660">
        <w:t>.</w:t>
      </w:r>
      <w:r w:rsidRPr="001A0660">
        <w:rPr>
          <w:rFonts w:hint="cs"/>
          <w:rtl/>
        </w:rPr>
        <w:t xml:space="preserve"> </w:t>
      </w:r>
      <w:r w:rsidRPr="001A0660">
        <w:rPr>
          <w:rtl/>
        </w:rPr>
        <w:t>חברות אלה נמנעות מחלוקת הרווחים כדיבידנדים ליחיד, ומשמשות ליחיד כמעין "ארנק</w:t>
      </w:r>
      <w:r w:rsidRPr="001A0660">
        <w:t>"</w:t>
      </w:r>
      <w:r w:rsidRPr="001A0660">
        <w:rPr>
          <w:rtl/>
        </w:rPr>
        <w:t>, בו הוא אוגר את הונו</w:t>
      </w:r>
      <w:r w:rsidRPr="001A0660">
        <w:rPr>
          <w:rFonts w:hint="cs"/>
          <w:rtl/>
        </w:rPr>
        <w:t xml:space="preserve">. </w:t>
      </w:r>
      <w:r w:rsidRPr="001A0660">
        <w:rPr>
          <w:rtl/>
        </w:rPr>
        <w:t>הימנעות בעל המניות מתשלום</w:t>
      </w:r>
      <w:r w:rsidRPr="001A0660">
        <w:t xml:space="preserve"> </w:t>
      </w:r>
      <w:r w:rsidRPr="001A0660">
        <w:rPr>
          <w:rtl/>
        </w:rPr>
        <w:t>השלב השני במיסוי הדו-שלבי, מותיר בידיו סכום גבוה יותר הזמין להשקעה</w:t>
      </w:r>
      <w:r w:rsidRPr="001A0660">
        <w:rPr>
          <w:rFonts w:hint="cs"/>
          <w:rtl/>
        </w:rPr>
        <w:t xml:space="preserve"> על ידי החברה, והרווחים מהשקעות אלה ממוסים גם הם רק בשלב הראשון ומושקעים פעם נוספת</w:t>
      </w:r>
      <w:r w:rsidRPr="001A0660">
        <w:rPr>
          <w:rtl/>
        </w:rPr>
        <w:t xml:space="preserve">. </w:t>
      </w:r>
      <w:r w:rsidRPr="001A0660">
        <w:rPr>
          <w:rFonts w:hint="cs"/>
          <w:rtl/>
        </w:rPr>
        <w:t xml:space="preserve">כתוצאה מכך, </w:t>
      </w:r>
      <w:r w:rsidRPr="001A0660">
        <w:rPr>
          <w:rtl/>
        </w:rPr>
        <w:t>בחברות אלה המס על הדיבידנד אינו נדחה באופן זמני, אלא דה-פקטו הדחייה היא פרמננטית. הרווחים הלא-מחולקים בחברות אלה כמעט ולא משמשים להגדלת הפעילות העסקית שהביאה להפקתם או לפעילות כלכלית ריאלית אחרת.</w:t>
      </w:r>
      <w:r w:rsidRPr="001A0660">
        <w:rPr>
          <w:rFonts w:hint="cs"/>
          <w:rtl/>
        </w:rPr>
        <w:t xml:space="preserve"> מובן שהתנהלות זו בחברות אלו עומדת בסתירה גמורה לתכלית המחוקק, שכן בעוד שהשקעות ריאליות הן המטרה שלשמה אפשר המחוקק את דחיית המס במודל הדו-שלבי, בחברות אלו השקעות אלו אינן מבוצעות והמנגנון משמש בעיקר ככלי להקטנת חבות המס של בעל המניות.</w:t>
      </w:r>
    </w:p>
    <w:p w14:paraId="6CDA5F37" w14:textId="77777777" w:rsidR="00D36340" w:rsidRPr="001A0660" w:rsidRDefault="00D36340" w:rsidP="00D36340">
      <w:pPr>
        <w:pStyle w:val="Hesber1st"/>
        <w:ind w:firstLine="720"/>
        <w:rPr>
          <w:rtl/>
        </w:rPr>
      </w:pPr>
      <w:r w:rsidRPr="001A0660">
        <w:rPr>
          <w:rtl/>
        </w:rPr>
        <w:t xml:space="preserve">מצב זה כרוך באובדן הכנסות המדינה </w:t>
      </w:r>
      <w:r w:rsidRPr="001A0660">
        <w:rPr>
          <w:rFonts w:hint="cs"/>
          <w:rtl/>
        </w:rPr>
        <w:t>של מיליארדי שקלים חדשים</w:t>
      </w:r>
      <w:r w:rsidRPr="001A0660">
        <w:rPr>
          <w:rtl/>
        </w:rPr>
        <w:t xml:space="preserve"> בשנה, שמשמעותו העלאת מסים אחרים הפוגעים בפעילות הכלכלית, או גיוס חוב הכרוך בנטל פיסקלי בהווה ובעתיד.</w:t>
      </w:r>
      <w:r w:rsidRPr="001A0660">
        <w:rPr>
          <w:rFonts w:hint="cs"/>
          <w:rtl/>
        </w:rPr>
        <w:t xml:space="preserve"> בנוסף, תכנון המס המבוצע באמצעות חברות ארנק משמש רק בעלי הכנסות מאוד גבוהות, כך שההשלכות החלוקתיות של פרצה זו הן רגרסיביות, ופוגעות פגיעה משמעותית ביכולת של מערכת המס לגבות מס באופן פרוגרסיבי.</w:t>
      </w:r>
    </w:p>
    <w:p w14:paraId="1083BA11" w14:textId="77777777" w:rsidR="00D36340" w:rsidRPr="001A0660" w:rsidRDefault="00D36340" w:rsidP="00D36340">
      <w:pPr>
        <w:pStyle w:val="Hesber1st"/>
        <w:ind w:firstLine="720"/>
        <w:rPr>
          <w:rtl/>
        </w:rPr>
      </w:pPr>
      <w:r w:rsidRPr="001A0660">
        <w:rPr>
          <w:rFonts w:hint="cs"/>
          <w:rtl/>
        </w:rPr>
        <w:t>במהלך החודשים ינואר</w:t>
      </w:r>
      <w:r w:rsidR="006F6B26" w:rsidRPr="001A0660">
        <w:rPr>
          <w:rFonts w:hint="cs"/>
          <w:rtl/>
        </w:rPr>
        <w:t xml:space="preserve"> עד </w:t>
      </w:r>
      <w:r w:rsidRPr="001A0660">
        <w:rPr>
          <w:rFonts w:hint="cs"/>
          <w:rtl/>
        </w:rPr>
        <w:t>אוגוסט 2024 התכנס צוות בראשות מנכ"ל משרד האוצר לבחון את סוגיית הרווחים הלא-מחולקים. הצוות הורכב מנציגי לשכת המנכ"ל, רשות המסים, אגף הכלכלן הראשי, אגף תקציבים והלשכה המשפטית במשרד האוצר. במסגרת עבודתו, הצוות בחר להתמקד בחברות ארנק – חברות בהן בעלי מניות מעטים, לרוב בעל מניות יחיד, משמשות את בעל המניות ככלי תאגידי לצבירת כספים תוך תשלום המס המופחת החל על חברות, בלא שההתאגדות מביאה לתועלת משקית מהותית.</w:t>
      </w:r>
    </w:p>
    <w:p w14:paraId="2885E609" w14:textId="77777777" w:rsidR="00D36340" w:rsidRPr="001A0660" w:rsidRDefault="00D36340" w:rsidP="00D36340">
      <w:pPr>
        <w:pStyle w:val="Hesber1st"/>
        <w:ind w:firstLine="720"/>
        <w:rPr>
          <w:rtl/>
        </w:rPr>
      </w:pPr>
      <w:r w:rsidRPr="001A0660">
        <w:rPr>
          <w:rFonts w:hint="cs"/>
          <w:rtl/>
        </w:rPr>
        <w:t xml:space="preserve">המלצות הצוות מבקשות לטפל בשני סוגים של חברות ארנק. </w:t>
      </w:r>
    </w:p>
    <w:p w14:paraId="33D6A22A" w14:textId="77777777" w:rsidR="00D36340" w:rsidRPr="001A0660" w:rsidRDefault="00D36340" w:rsidP="00D36340">
      <w:pPr>
        <w:pStyle w:val="Hesber1st"/>
        <w:ind w:firstLine="720"/>
        <w:rPr>
          <w:rtl/>
        </w:rPr>
      </w:pPr>
      <w:r w:rsidRPr="001A0660">
        <w:rPr>
          <w:rFonts w:hint="cs"/>
          <w:rtl/>
        </w:rPr>
        <w:t xml:space="preserve">הסוג הראשון המטופל במסגרת ההמלצות הוא סוג של חברות אשר עיקר הרווחים שלהן נובעים מפעילות בעל המניות בעסק (להלן </w:t>
      </w:r>
      <w:r w:rsidRPr="001A0660">
        <w:rPr>
          <w:rtl/>
        </w:rPr>
        <w:t>–</w:t>
      </w:r>
      <w:r w:rsidRPr="001A0660">
        <w:rPr>
          <w:rFonts w:hint="cs"/>
          <w:rtl/>
        </w:rPr>
        <w:t xml:space="preserve"> </w:t>
      </w:r>
      <w:r w:rsidRPr="001A0660">
        <w:rPr>
          <w:rFonts w:hint="cs"/>
          <w:b/>
          <w:bCs/>
          <w:rtl/>
        </w:rPr>
        <w:t>חברות ארנק פעילות</w:t>
      </w:r>
      <w:r w:rsidRPr="001A0660">
        <w:rPr>
          <w:rFonts w:hint="cs"/>
          <w:rtl/>
        </w:rPr>
        <w:t xml:space="preserve">). בחברות אלה, במקום שבעל המניות ישלם מס על סכום הכנסות המשקפות את תרומתו האמיתית לפעילות העסק, הוא מושך מהחברה סכום נמוך המספק לו למחיה </w:t>
      </w:r>
      <w:r w:rsidRPr="001A0660">
        <w:rPr>
          <w:rtl/>
        </w:rPr>
        <w:t>–</w:t>
      </w:r>
      <w:r w:rsidRPr="001A0660">
        <w:rPr>
          <w:rFonts w:hint="cs"/>
          <w:rtl/>
        </w:rPr>
        <w:t xml:space="preserve"> בדרך כלל כמשכורת או כדיבידנד </w:t>
      </w:r>
      <w:r w:rsidRPr="001A0660">
        <w:rPr>
          <w:rtl/>
        </w:rPr>
        <w:t>–</w:t>
      </w:r>
      <w:r w:rsidRPr="001A0660">
        <w:rPr>
          <w:rFonts w:hint="cs"/>
          <w:rtl/>
        </w:rPr>
        <w:t xml:space="preserve"> כאשר יתרת ההכנסה אשר הפיק נותר בחברה ומשולם בשלו מס נמוך.</w:t>
      </w:r>
    </w:p>
    <w:p w14:paraId="4C17F641" w14:textId="77777777" w:rsidR="00D36340" w:rsidRPr="001A0660" w:rsidRDefault="00D36340" w:rsidP="00D36340">
      <w:pPr>
        <w:pStyle w:val="Hesber1st"/>
        <w:ind w:firstLine="720"/>
        <w:rPr>
          <w:rtl/>
        </w:rPr>
      </w:pPr>
      <w:r w:rsidRPr="001A0660">
        <w:rPr>
          <w:rFonts w:hint="cs"/>
          <w:rtl/>
        </w:rPr>
        <w:t>הסוג השני של חברות אשר הומלץ לטפל בהן הוא חברות החזקה. חברות אלה הן חברות ללא פעילות עסקית משמעותית, ו</w:t>
      </w:r>
      <w:r w:rsidRPr="001A0660">
        <w:rPr>
          <w:rtl/>
        </w:rPr>
        <w:t>מרבית הכנסותיהן פסיביות (הכנסות מדיבידנד, ריבית, רווחי הון וכו')</w:t>
      </w:r>
      <w:r w:rsidRPr="001A0660">
        <w:rPr>
          <w:rFonts w:hint="cs"/>
          <w:rtl/>
        </w:rPr>
        <w:t>, והן משמשות יחיד שמחזיק בהן ככלי לביצוע השקעות ללא תשלום המס המלא</w:t>
      </w:r>
      <w:r w:rsidRPr="001A0660">
        <w:rPr>
          <w:rtl/>
        </w:rPr>
        <w:t xml:space="preserve">. </w:t>
      </w:r>
      <w:r w:rsidRPr="001A0660">
        <w:rPr>
          <w:rFonts w:hint="cs"/>
          <w:rtl/>
        </w:rPr>
        <w:t>במקרים רבים, כספי החברה המושקעים הם רווחים ש</w:t>
      </w:r>
      <w:r w:rsidR="009400A3" w:rsidRPr="001A0660">
        <w:rPr>
          <w:rFonts w:hint="cs"/>
          <w:rtl/>
        </w:rPr>
        <w:t>נ</w:t>
      </w:r>
      <w:r w:rsidRPr="001A0660">
        <w:rPr>
          <w:rFonts w:hint="cs"/>
          <w:rtl/>
        </w:rPr>
        <w:t xml:space="preserve">בעו מפעילות עסקית אחרת שלא שולם בשלה השלב השני של המס. במקום להעביר את הרווחים מאותה פעילות ליחיד אשר ישלים את תשלום המס הנדרש לפי המודל הדו-שלבי, הכספים מועברים לחברת הארנק המשקיעה אותם באפיקים דומים לאלה שיחידים משקיעים בהם את חסכונותיהם. כאשר ההבדל הוא, שאותם יחידים משקיעים את הכספים לאחר ששולם עליהם המס, ומשלמים על הרווחים את המס המלא כקבוע בחוק. </w:t>
      </w:r>
      <w:r w:rsidRPr="001A0660">
        <w:rPr>
          <w:rtl/>
        </w:rPr>
        <w:t xml:space="preserve">חברות </w:t>
      </w:r>
      <w:r w:rsidRPr="001A0660">
        <w:rPr>
          <w:rFonts w:hint="cs"/>
          <w:rtl/>
        </w:rPr>
        <w:t>האחזקה</w:t>
      </w:r>
      <w:r w:rsidRPr="001A0660">
        <w:rPr>
          <w:rtl/>
        </w:rPr>
        <w:t xml:space="preserve"> מאופיינות במיעוט בעלי שליטה</w:t>
      </w:r>
      <w:r w:rsidRPr="001A0660">
        <w:rPr>
          <w:rFonts w:hint="cs"/>
          <w:rtl/>
        </w:rPr>
        <w:t xml:space="preserve"> השולטים</w:t>
      </w:r>
      <w:r w:rsidRPr="001A0660">
        <w:rPr>
          <w:rtl/>
        </w:rPr>
        <w:t xml:space="preserve"> שליטה מלאה בפעילות החברה ובחלוקת הדיבידנדים (או באי חלוקתם)</w:t>
      </w:r>
      <w:r w:rsidR="009400A3" w:rsidRPr="001A0660">
        <w:rPr>
          <w:rFonts w:hint="cs"/>
          <w:rtl/>
        </w:rPr>
        <w:t>, והן</w:t>
      </w:r>
      <w:r w:rsidRPr="001A0660">
        <w:rPr>
          <w:rtl/>
        </w:rPr>
        <w:t xml:space="preserve"> יכולות להיות בעלות מנעד רחב של היקפי הכנסות, הכל כתלות בהיקף ההחזקות של החברה.</w:t>
      </w:r>
    </w:p>
    <w:p w14:paraId="4E4F0304" w14:textId="77777777" w:rsidR="00D36340" w:rsidRPr="001A0660" w:rsidRDefault="00D36340" w:rsidP="00D36340">
      <w:pPr>
        <w:pStyle w:val="Hesber1st"/>
        <w:ind w:firstLine="720"/>
        <w:rPr>
          <w:rtl/>
        </w:rPr>
      </w:pPr>
      <w:r w:rsidRPr="001A0660">
        <w:rPr>
          <w:rFonts w:hint="cs"/>
          <w:rtl/>
        </w:rPr>
        <w:t>על אף ששני סוגי החברות הללו מוגדרות חברות ארנק, קיימים מאפיינים רבים המבחינים ביניהן – כגון: היקף הרווחים, מקורות ההכנסה ושיעור הרווחיות. עם זאת, הדומה בין סוגי החברות הוא שמשטר המס הנוכחי מאפשר להן להימנע מחלוקת רווחים כדיבידנד לבעלי החברה, תוך שהן משמשות</w:t>
      </w:r>
      <w:r w:rsidR="009400A3" w:rsidRPr="001A0660">
        <w:rPr>
          <w:rFonts w:hint="cs"/>
          <w:rtl/>
        </w:rPr>
        <w:t xml:space="preserve"> כאמור</w:t>
      </w:r>
      <w:r w:rsidRPr="001A0660">
        <w:rPr>
          <w:rFonts w:hint="cs"/>
          <w:rtl/>
        </w:rPr>
        <w:t xml:space="preserve"> לבעלי החברה כמעין "ארנק" לאגירת כספים בסביבת מיסוי מיטיבה.</w:t>
      </w:r>
    </w:p>
    <w:p w14:paraId="48337D68" w14:textId="77777777" w:rsidR="00D36340" w:rsidRPr="001A0660" w:rsidRDefault="00D36340" w:rsidP="00D36340">
      <w:pPr>
        <w:pStyle w:val="Hesber1st"/>
        <w:ind w:firstLine="720"/>
        <w:rPr>
          <w:rtl/>
        </w:rPr>
      </w:pPr>
      <w:r w:rsidRPr="001A0660">
        <w:rPr>
          <w:rFonts w:hint="cs"/>
          <w:rtl/>
        </w:rPr>
        <w:t>לאחר בחינת הנעשה בעולם ובחינת חלופת שונות, הצוות ממליץ על ביצוע מספר תיקונים, לצורך טיפול בכל אחד מסוגי חברות הארנק, כפי שיפורט להלן.</w:t>
      </w:r>
      <w:r w:rsidR="009400A3" w:rsidRPr="001A0660">
        <w:rPr>
          <w:rFonts w:hint="cs"/>
          <w:rtl/>
        </w:rPr>
        <w:t xml:space="preserve"> התיקונים המוצעים בסעיף 62א לפקודה נועדו לצורך מניעת התופעה של חברות ארנק פעילות, והתיקונים האחרים נועדו למנוע את השימוש בחברות החזקה.</w:t>
      </w:r>
    </w:p>
    <w:p w14:paraId="7A5EC729" w14:textId="77777777" w:rsidR="00D36340" w:rsidRPr="001A0660" w:rsidRDefault="00D36340" w:rsidP="00D36340">
      <w:pPr>
        <w:pStyle w:val="Hesber1st"/>
        <w:rPr>
          <w:b/>
          <w:bCs/>
          <w:rtl/>
        </w:rPr>
      </w:pPr>
      <w:r w:rsidRPr="001A0660">
        <w:rPr>
          <w:rFonts w:hint="cs"/>
          <w:b/>
          <w:bCs/>
          <w:rtl/>
        </w:rPr>
        <w:t>לסעיף 1(1)</w:t>
      </w:r>
    </w:p>
    <w:p w14:paraId="210B5B92" w14:textId="77777777" w:rsidR="00D27CA7" w:rsidRPr="001A0660" w:rsidRDefault="00D36340" w:rsidP="00405D59">
      <w:pPr>
        <w:pStyle w:val="Hesber1st"/>
        <w:rPr>
          <w:rtl/>
        </w:rPr>
      </w:pPr>
      <w:r w:rsidRPr="001A0660">
        <w:rPr>
          <w:rFonts w:hint="cs"/>
          <w:rtl/>
        </w:rPr>
        <w:t xml:space="preserve">בסעיף זה מוצע לעגן את המלצות הצוות בדבר הטיפול בחברות ארנק פעילות. לצורך כך, מוצעים מספר תיקונים בסעיף 62א לפקודה, העוסק </w:t>
      </w:r>
      <w:r w:rsidR="00694401" w:rsidRPr="001A0660">
        <w:rPr>
          <w:rFonts w:hint="cs"/>
          <w:rtl/>
        </w:rPr>
        <w:t xml:space="preserve">במיסוי בעל מניות מהותי בחברת מעטים. סעיף זה אשר נחקק במסגרת </w:t>
      </w:r>
      <w:r w:rsidR="00405D59" w:rsidRPr="001A0660">
        <w:rPr>
          <w:rtl/>
        </w:rPr>
        <w:t xml:space="preserve">חוק ההתייעלות הכלכלית (תיקוני חקיקה ליישום המדיניות הכלכלית לשנות התקציב 2017 ו-2018), </w:t>
      </w:r>
      <w:r w:rsidR="00405D59" w:rsidRPr="001A0660">
        <w:rPr>
          <w:rFonts w:hint="cs"/>
          <w:rtl/>
        </w:rPr>
        <w:t>ה</w:t>
      </w:r>
      <w:r w:rsidR="00405D59" w:rsidRPr="001A0660">
        <w:rPr>
          <w:rtl/>
        </w:rPr>
        <w:t>תשע"ז-2016</w:t>
      </w:r>
      <w:r w:rsidR="00405D59" w:rsidRPr="001A0660">
        <w:rPr>
          <w:rFonts w:hint="cs"/>
          <w:rtl/>
        </w:rPr>
        <w:t>,</w:t>
      </w:r>
      <w:r w:rsidR="00694401" w:rsidRPr="001A0660">
        <w:rPr>
          <w:rFonts w:hint="cs"/>
          <w:rtl/>
        </w:rPr>
        <w:t xml:space="preserve"> ונכנס לתוקף בשנת 2017 (להלן </w:t>
      </w:r>
      <w:r w:rsidR="00694401" w:rsidRPr="001A0660">
        <w:rPr>
          <w:rtl/>
        </w:rPr>
        <w:t>–</w:t>
      </w:r>
      <w:r w:rsidR="00694401" w:rsidRPr="001A0660">
        <w:rPr>
          <w:rFonts w:hint="cs"/>
          <w:rtl/>
        </w:rPr>
        <w:t xml:space="preserve"> </w:t>
      </w:r>
      <w:r w:rsidR="00694401" w:rsidRPr="001A0660">
        <w:rPr>
          <w:rFonts w:hint="cs"/>
          <w:b/>
          <w:bCs/>
          <w:rtl/>
        </w:rPr>
        <w:t>תיקון</w:t>
      </w:r>
      <w:r w:rsidR="00694401" w:rsidRPr="001A0660">
        <w:rPr>
          <w:b/>
          <w:bCs/>
          <w:rtl/>
        </w:rPr>
        <w:t xml:space="preserve"> 2017</w:t>
      </w:r>
      <w:r w:rsidR="00694401" w:rsidRPr="001A0660">
        <w:rPr>
          <w:rFonts w:hint="cs"/>
          <w:rtl/>
        </w:rPr>
        <w:t xml:space="preserve">), נועד לטפל בתופעה דומה לזו אשר מוצע לטפל בה כבהצעה זו. </w:t>
      </w:r>
      <w:r w:rsidR="009400A3" w:rsidRPr="001A0660">
        <w:rPr>
          <w:rFonts w:hint="cs"/>
          <w:rtl/>
        </w:rPr>
        <w:t xml:space="preserve">תיקון 2017 </w:t>
      </w:r>
      <w:r w:rsidR="00694401" w:rsidRPr="001A0660">
        <w:rPr>
          <w:rFonts w:hint="cs"/>
          <w:rtl/>
        </w:rPr>
        <w:t>נועד להקשות על ה</w:t>
      </w:r>
      <w:r w:rsidR="00694401" w:rsidRPr="001A0660">
        <w:rPr>
          <w:rtl/>
        </w:rPr>
        <w:t>תופעה של עובדים שכירים בחברות</w:t>
      </w:r>
      <w:r w:rsidR="00694401" w:rsidRPr="001A0660">
        <w:rPr>
          <w:rFonts w:hint="cs"/>
          <w:rtl/>
        </w:rPr>
        <w:t xml:space="preserve"> או נושאי משרה בהן</w:t>
      </w:r>
      <w:r w:rsidR="00694401" w:rsidRPr="001A0660">
        <w:rPr>
          <w:rtl/>
        </w:rPr>
        <w:t>, בעיקר ברמות השכר הגבוהות</w:t>
      </w:r>
      <w:r w:rsidR="00694401" w:rsidRPr="001A0660">
        <w:rPr>
          <w:rFonts w:hint="cs"/>
          <w:rtl/>
        </w:rPr>
        <w:t>,</w:t>
      </w:r>
      <w:r w:rsidR="00694401" w:rsidRPr="001A0660">
        <w:t xml:space="preserve"> </w:t>
      </w:r>
      <w:r w:rsidR="00694401" w:rsidRPr="001A0660">
        <w:rPr>
          <w:rtl/>
        </w:rPr>
        <w:t>המפסיקים את עבודתם כשכירים באותן חברות אך ממשיכים לתת להן את אותם שירותים באמצעות חברה בשליטתם, כאשר בפן המהותי מתקיימים יחסים הדומים במהותם ליחסי</w:t>
      </w:r>
      <w:r w:rsidR="00694401" w:rsidRPr="001A0660">
        <w:rPr>
          <w:rFonts w:hint="cs"/>
          <w:rtl/>
        </w:rPr>
        <w:t>ם שהיו קיימים בין היחיד</w:t>
      </w:r>
      <w:r w:rsidR="00694401" w:rsidRPr="001A0660">
        <w:rPr>
          <w:rtl/>
        </w:rPr>
        <w:t>, נותן השירות, לבין החברה מקבלת השירות</w:t>
      </w:r>
      <w:r w:rsidR="00AE66E6" w:rsidRPr="001A0660">
        <w:rPr>
          <w:rtl/>
        </w:rPr>
        <w:t xml:space="preserve"> (להלן – </w:t>
      </w:r>
      <w:r w:rsidR="00AE66E6" w:rsidRPr="001A0660">
        <w:rPr>
          <w:rFonts w:hint="eastAsia"/>
          <w:b/>
          <w:bCs/>
          <w:rtl/>
        </w:rPr>
        <w:t>חברת</w:t>
      </w:r>
      <w:r w:rsidR="00AE66E6" w:rsidRPr="001A0660">
        <w:rPr>
          <w:b/>
          <w:bCs/>
          <w:rtl/>
        </w:rPr>
        <w:t xml:space="preserve"> </w:t>
      </w:r>
      <w:r w:rsidR="00110BAD" w:rsidRPr="001A0660">
        <w:rPr>
          <w:rFonts w:hint="eastAsia"/>
          <w:b/>
          <w:bCs/>
          <w:rtl/>
        </w:rPr>
        <w:t>שכיר</w:t>
      </w:r>
      <w:r w:rsidR="00110BAD" w:rsidRPr="001A0660">
        <w:rPr>
          <w:rFonts w:hint="cs"/>
          <w:rtl/>
        </w:rPr>
        <w:t>)</w:t>
      </w:r>
      <w:r w:rsidR="00694401" w:rsidRPr="001A0660">
        <w:rPr>
          <w:rtl/>
        </w:rPr>
        <w:t>.</w:t>
      </w:r>
      <w:r w:rsidR="00D27CA7" w:rsidRPr="001A0660">
        <w:rPr>
          <w:rFonts w:hint="cs"/>
          <w:rtl/>
        </w:rPr>
        <w:t xml:space="preserve"> לפי סעיף 62א </w:t>
      </w:r>
      <w:r w:rsidR="009400A3" w:rsidRPr="001A0660">
        <w:rPr>
          <w:rFonts w:hint="cs"/>
          <w:rtl/>
        </w:rPr>
        <w:t>אשר נחקק בתיקון 2017</w:t>
      </w:r>
      <w:r w:rsidR="00D27CA7" w:rsidRPr="001A0660">
        <w:rPr>
          <w:rFonts w:hint="cs"/>
          <w:rtl/>
        </w:rPr>
        <w:t xml:space="preserve">, במקרים אלה, יש </w:t>
      </w:r>
      <w:r w:rsidR="00D27CA7" w:rsidRPr="001A0660">
        <w:rPr>
          <w:rtl/>
        </w:rPr>
        <w:t>להתעלם מקיומה של החברה לעניין זה, ולחייב את בעל המניות נותן השירות, באופן ישיר, במס על כלל ההכנסות הנובעות לחברה מיגיעתו האישית.</w:t>
      </w:r>
      <w:r w:rsidR="00694401" w:rsidRPr="001A0660">
        <w:rPr>
          <w:rtl/>
        </w:rPr>
        <w:t xml:space="preserve"> </w:t>
      </w:r>
      <w:r w:rsidR="00694401" w:rsidRPr="001A0660">
        <w:rPr>
          <w:rFonts w:hint="eastAsia"/>
          <w:rtl/>
        </w:rPr>
        <w:t>כעת</w:t>
      </w:r>
      <w:r w:rsidR="00694401" w:rsidRPr="001A0660">
        <w:rPr>
          <w:rtl/>
        </w:rPr>
        <w:t xml:space="preserve">, מוצע לטפל במספר פרצות שנותרו ביחס </w:t>
      </w:r>
      <w:r w:rsidR="00694401" w:rsidRPr="001A0660">
        <w:rPr>
          <w:rFonts w:hint="eastAsia"/>
          <w:rtl/>
        </w:rPr>
        <w:t>ל</w:t>
      </w:r>
      <w:r w:rsidR="00110BAD" w:rsidRPr="001A0660">
        <w:rPr>
          <w:rFonts w:hint="eastAsia"/>
          <w:rtl/>
        </w:rPr>
        <w:t>חברות</w:t>
      </w:r>
      <w:r w:rsidR="00110BAD" w:rsidRPr="001A0660">
        <w:rPr>
          <w:rtl/>
        </w:rPr>
        <w:t xml:space="preserve"> </w:t>
      </w:r>
      <w:r w:rsidR="00110BAD" w:rsidRPr="001A0660">
        <w:rPr>
          <w:rFonts w:hint="eastAsia"/>
          <w:rtl/>
        </w:rPr>
        <w:t>השכירים</w:t>
      </w:r>
      <w:r w:rsidR="00694401" w:rsidRPr="001A0660">
        <w:rPr>
          <w:rFonts w:hint="cs"/>
          <w:rtl/>
        </w:rPr>
        <w:t xml:space="preserve"> אשר טופלו במסגרת תיקון 2017, וכן, מוצע להוסיף את סעיף קטן (א1) אשר </w:t>
      </w:r>
      <w:r w:rsidR="00D27CA7" w:rsidRPr="001A0660">
        <w:rPr>
          <w:rFonts w:hint="eastAsia"/>
          <w:rtl/>
        </w:rPr>
        <w:t>מתייחס</w:t>
      </w:r>
      <w:r w:rsidR="00D27CA7" w:rsidRPr="001A0660">
        <w:rPr>
          <w:rtl/>
        </w:rPr>
        <w:t xml:space="preserve"> </w:t>
      </w:r>
      <w:r w:rsidR="00D27CA7" w:rsidRPr="001A0660">
        <w:rPr>
          <w:rFonts w:hint="eastAsia"/>
          <w:rtl/>
        </w:rPr>
        <w:t>ל</w:t>
      </w:r>
      <w:r w:rsidR="00694401" w:rsidRPr="001A0660">
        <w:rPr>
          <w:rFonts w:hint="eastAsia"/>
          <w:rtl/>
        </w:rPr>
        <w:t>מקרים</w:t>
      </w:r>
      <w:r w:rsidR="00694401" w:rsidRPr="001A0660">
        <w:rPr>
          <w:rtl/>
        </w:rPr>
        <w:t xml:space="preserve"> </w:t>
      </w:r>
      <w:r w:rsidR="00694401" w:rsidRPr="001A0660">
        <w:rPr>
          <w:rFonts w:hint="eastAsia"/>
          <w:rtl/>
        </w:rPr>
        <w:t>מובהקים</w:t>
      </w:r>
      <w:r w:rsidR="00694401" w:rsidRPr="001A0660">
        <w:rPr>
          <w:rtl/>
        </w:rPr>
        <w:t xml:space="preserve"> </w:t>
      </w:r>
      <w:r w:rsidR="00694401" w:rsidRPr="001A0660">
        <w:rPr>
          <w:rFonts w:hint="eastAsia"/>
          <w:rtl/>
        </w:rPr>
        <w:t>אחרים</w:t>
      </w:r>
      <w:r w:rsidR="00110BAD" w:rsidRPr="001A0660">
        <w:rPr>
          <w:rtl/>
        </w:rPr>
        <w:t xml:space="preserve"> של חברות ארנק</w:t>
      </w:r>
      <w:r w:rsidR="00694401" w:rsidRPr="001A0660">
        <w:rPr>
          <w:rtl/>
        </w:rPr>
        <w:t xml:space="preserve"> פעילות</w:t>
      </w:r>
      <w:r w:rsidR="00D27CA7" w:rsidRPr="001A0660">
        <w:rPr>
          <w:rtl/>
        </w:rPr>
        <w:t xml:space="preserve"> אשר לא נכללו בגדר החברות שחל לגביהן </w:t>
      </w:r>
      <w:r w:rsidR="009400A3" w:rsidRPr="001A0660">
        <w:rPr>
          <w:rFonts w:hint="cs"/>
          <w:rtl/>
        </w:rPr>
        <w:t>התיקון האמור</w:t>
      </w:r>
      <w:r w:rsidR="00694401" w:rsidRPr="001A0660">
        <w:rPr>
          <w:rtl/>
        </w:rPr>
        <w:t>.</w:t>
      </w:r>
    </w:p>
    <w:p w14:paraId="4BC4A444" w14:textId="77777777" w:rsidR="0096066C" w:rsidRPr="001A0660" w:rsidRDefault="0096066C" w:rsidP="00D27CA7">
      <w:pPr>
        <w:pStyle w:val="Hesber1st"/>
        <w:rPr>
          <w:b/>
          <w:bCs/>
          <w:rtl/>
        </w:rPr>
      </w:pPr>
      <w:r w:rsidRPr="001A0660">
        <w:rPr>
          <w:rFonts w:hint="eastAsia"/>
          <w:b/>
          <w:bCs/>
          <w:rtl/>
        </w:rPr>
        <w:t>לפסקה</w:t>
      </w:r>
      <w:r w:rsidRPr="001A0660">
        <w:rPr>
          <w:b/>
          <w:bCs/>
          <w:rtl/>
        </w:rPr>
        <w:t xml:space="preserve"> (א) </w:t>
      </w:r>
    </w:p>
    <w:p w14:paraId="51DE8F55" w14:textId="77777777" w:rsidR="0096066C" w:rsidRPr="001A0660" w:rsidRDefault="0096066C" w:rsidP="00D27CA7">
      <w:pPr>
        <w:pStyle w:val="Hesber1st"/>
        <w:rPr>
          <w:b/>
          <w:bCs/>
          <w:rtl/>
        </w:rPr>
      </w:pPr>
      <w:r w:rsidRPr="001A0660">
        <w:rPr>
          <w:rFonts w:hint="eastAsia"/>
          <w:rtl/>
        </w:rPr>
        <w:t>בפסקה</w:t>
      </w:r>
      <w:r w:rsidRPr="001A0660">
        <w:rPr>
          <w:rtl/>
        </w:rPr>
        <w:t xml:space="preserve"> זו מוצעים מספר תיקונים לצורך תיקון עיוותים בהוראות הדין הקיים ביחס </w:t>
      </w:r>
      <w:r w:rsidRPr="001A0660">
        <w:rPr>
          <w:rFonts w:hint="eastAsia"/>
          <w:rtl/>
        </w:rPr>
        <w:t>לחברות</w:t>
      </w:r>
      <w:r w:rsidRPr="001A0660">
        <w:rPr>
          <w:rtl/>
        </w:rPr>
        <w:t xml:space="preserve"> </w:t>
      </w:r>
      <w:r w:rsidRPr="001A0660">
        <w:rPr>
          <w:rFonts w:hint="eastAsia"/>
          <w:rtl/>
        </w:rPr>
        <w:t>שכירים</w:t>
      </w:r>
      <w:r w:rsidRPr="001A0660">
        <w:rPr>
          <w:rtl/>
        </w:rPr>
        <w:t>.</w:t>
      </w:r>
      <w:r w:rsidRPr="001A0660">
        <w:rPr>
          <w:rFonts w:hint="cs"/>
          <w:rtl/>
        </w:rPr>
        <w:t xml:space="preserve"> </w:t>
      </w:r>
    </w:p>
    <w:p w14:paraId="622D866B" w14:textId="77777777" w:rsidR="001F51EF" w:rsidRPr="001A0660" w:rsidRDefault="00D27CA7" w:rsidP="0096066C">
      <w:pPr>
        <w:pStyle w:val="Hesber"/>
        <w:rPr>
          <w:b/>
          <w:bCs/>
          <w:rtl/>
        </w:rPr>
      </w:pPr>
      <w:r w:rsidRPr="001A0660">
        <w:rPr>
          <w:rFonts w:hint="cs"/>
          <w:b/>
          <w:bCs/>
          <w:rtl/>
        </w:rPr>
        <w:t>לפסקה (א)</w:t>
      </w:r>
      <w:r w:rsidR="00110BAD" w:rsidRPr="001A0660">
        <w:rPr>
          <w:rFonts w:hint="cs"/>
          <w:b/>
          <w:bCs/>
          <w:rtl/>
        </w:rPr>
        <w:t>(2)</w:t>
      </w:r>
      <w:r w:rsidR="00694401" w:rsidRPr="001A0660">
        <w:rPr>
          <w:rFonts w:hint="cs"/>
          <w:b/>
          <w:bCs/>
          <w:rtl/>
        </w:rPr>
        <w:t xml:space="preserve">  </w:t>
      </w:r>
    </w:p>
    <w:p w14:paraId="078AAF36" w14:textId="77777777" w:rsidR="00110BAD" w:rsidRPr="001A0660" w:rsidRDefault="00110BAD" w:rsidP="0096066C">
      <w:pPr>
        <w:pStyle w:val="Hesber"/>
        <w:rPr>
          <w:rtl/>
        </w:rPr>
      </w:pPr>
      <w:r w:rsidRPr="001A0660">
        <w:rPr>
          <w:rtl/>
        </w:rPr>
        <w:t xml:space="preserve">כיום סעיף 62א(א)(1) קובע החרגה מתחולת הסעיף לגבי הכנסה המשולמת לחברת המעטים על ידי חברה אחרת שהיחיד מחזיק בה בשיעור של 10% ומעלה, כך שהכנסה זו אינה </w:t>
      </w:r>
      <w:r w:rsidRPr="001A0660">
        <w:rPr>
          <w:rFonts w:hint="cs"/>
          <w:rtl/>
        </w:rPr>
        <w:t xml:space="preserve">מיוחסת לבעל המניות המהותי ואינה </w:t>
      </w:r>
      <w:r w:rsidRPr="001A0660">
        <w:rPr>
          <w:rtl/>
        </w:rPr>
        <w:t>ממוסה במס שולי. ההצדקה לאפשר מתן שירותים של בעל מניות לחברה שבבעלותו, אינה קיימת כאשר שיעור ההחזקה לא מבסס שליטה בחברה, כלומר שיעור החזקה הנמוך מ-50%. לכן מוצע לצמצם את ההוראה רק למקרים בהם ישנה החזקה של 50% ומעלה בחברה האחרת.</w:t>
      </w:r>
    </w:p>
    <w:p w14:paraId="6E705327" w14:textId="77777777" w:rsidR="00110BAD" w:rsidRPr="001A0660" w:rsidRDefault="00110BAD" w:rsidP="0096066C">
      <w:pPr>
        <w:pStyle w:val="Hesber"/>
        <w:rPr>
          <w:b/>
          <w:bCs/>
          <w:rtl/>
        </w:rPr>
      </w:pPr>
      <w:r w:rsidRPr="001A0660">
        <w:rPr>
          <w:rFonts w:hint="cs"/>
          <w:b/>
          <w:bCs/>
          <w:rtl/>
        </w:rPr>
        <w:t>לפסקה (א)(3)</w:t>
      </w:r>
    </w:p>
    <w:p w14:paraId="6632E345" w14:textId="77777777" w:rsidR="009951FC" w:rsidRPr="001A0660" w:rsidRDefault="00AB5D96" w:rsidP="009951FC">
      <w:pPr>
        <w:pStyle w:val="Hesber"/>
        <w:rPr>
          <w:rtl/>
        </w:rPr>
      </w:pPr>
      <w:r w:rsidRPr="001A0660">
        <w:rPr>
          <w:rFonts w:hint="cs"/>
          <w:rtl/>
        </w:rPr>
        <w:t>סעיף 62א(א)(2)</w:t>
      </w:r>
      <w:r w:rsidR="001333A8" w:rsidRPr="001A0660">
        <w:rPr>
          <w:rFonts w:hint="cs"/>
          <w:rtl/>
        </w:rPr>
        <w:t xml:space="preserve"> קובע שיש לייחס הכנסה של חברת מעטים לבעל מניות מהותי בחברה אם </w:t>
      </w:r>
      <w:r w:rsidR="009951FC" w:rsidRPr="001A0660">
        <w:rPr>
          <w:rtl/>
        </w:rPr>
        <w:t>הכנסת חברת המעטים נובעת מפעילות אותו יחיד בעבור אדם אחר, והיא מסוג הפעולות הנעשות בידי עובד בעבור מעסיקו</w:t>
      </w:r>
      <w:r w:rsidR="009951FC" w:rsidRPr="001A0660">
        <w:rPr>
          <w:rFonts w:hint="cs"/>
          <w:rtl/>
        </w:rPr>
        <w:t>. מסעיף זה מוחרג</w:t>
      </w:r>
      <w:r w:rsidR="009951FC" w:rsidRPr="001A0660">
        <w:rPr>
          <w:rtl/>
        </w:rPr>
        <w:t xml:space="preserve">, </w:t>
      </w:r>
      <w:r w:rsidR="009951FC" w:rsidRPr="001A0660">
        <w:rPr>
          <w:rFonts w:hint="cs"/>
          <w:rtl/>
        </w:rPr>
        <w:t xml:space="preserve">פעילות שעושה אותו יחיד בעבור </w:t>
      </w:r>
      <w:r w:rsidR="009951FC" w:rsidRPr="001A0660">
        <w:rPr>
          <w:rtl/>
        </w:rPr>
        <w:t>מי שהיחיד הוא בעל מניות מהותי בו, במישרין או בעקיפין, או שותף בו</w:t>
      </w:r>
      <w:r w:rsidR="009951FC" w:rsidRPr="001A0660">
        <w:rPr>
          <w:rFonts w:hint="cs"/>
          <w:rtl/>
        </w:rPr>
        <w:t>. החרגה זו אינה מוצדקת, לאור מטרת הסעיף למנוע הטבת מס משכיר הפועל באמצעות חברה ועל כן מוצע לבטל את ההחרגה.</w:t>
      </w:r>
    </w:p>
    <w:p w14:paraId="4945C1AE" w14:textId="77777777" w:rsidR="009951FC" w:rsidRPr="001A0660" w:rsidRDefault="009951FC" w:rsidP="0096066C">
      <w:pPr>
        <w:pStyle w:val="Hesber"/>
        <w:rPr>
          <w:b/>
          <w:bCs/>
          <w:rtl/>
        </w:rPr>
      </w:pPr>
      <w:r w:rsidRPr="001A0660">
        <w:rPr>
          <w:rFonts w:hint="cs"/>
          <w:b/>
          <w:bCs/>
          <w:rtl/>
        </w:rPr>
        <w:t>לפסקה (א)(4)</w:t>
      </w:r>
    </w:p>
    <w:p w14:paraId="14241478" w14:textId="77777777" w:rsidR="009951FC" w:rsidRPr="001A0660" w:rsidRDefault="009951FC" w:rsidP="00FF4627">
      <w:pPr>
        <w:pStyle w:val="Hesber"/>
        <w:rPr>
          <w:rtl/>
        </w:rPr>
      </w:pPr>
      <w:r w:rsidRPr="001A0660">
        <w:rPr>
          <w:rFonts w:hint="cs"/>
          <w:rtl/>
        </w:rPr>
        <w:t xml:space="preserve">סעיף 62(א)(3) קובע חזקה חלוטה לפיה </w:t>
      </w:r>
      <w:r w:rsidRPr="001A0660">
        <w:rPr>
          <w:rtl/>
        </w:rPr>
        <w:t>יראו את פעולות היחיד כפעולות הנעשות בידי עובד בעבור מעסיקו,</w:t>
      </w:r>
      <w:r w:rsidRPr="001A0660">
        <w:rPr>
          <w:rFonts w:hint="cs"/>
          <w:rtl/>
        </w:rPr>
        <w:t xml:space="preserve"> אם </w:t>
      </w:r>
      <w:r w:rsidRPr="001A0660">
        <w:rPr>
          <w:rtl/>
        </w:rPr>
        <w:t>מקורן של 70% או יותר מסך כל הכנסתה של חברת המעטים בשנת המס, הוא בשירות שניתן על ידי היחיד לאדם אחד</w:t>
      </w:r>
      <w:r w:rsidR="00643B88" w:rsidRPr="001A0660">
        <w:rPr>
          <w:rFonts w:hint="cs"/>
          <w:rtl/>
        </w:rPr>
        <w:t xml:space="preserve"> במשך </w:t>
      </w:r>
      <w:r w:rsidR="00643B88" w:rsidRPr="001A0660">
        <w:rPr>
          <w:rtl/>
        </w:rPr>
        <w:t>30 חודשים לפחות, מתוך תקופה של ארבע שנים</w:t>
      </w:r>
      <w:r w:rsidRPr="001A0660">
        <w:rPr>
          <w:rFonts w:hint="cs"/>
          <w:rtl/>
        </w:rPr>
        <w:t xml:space="preserve">. </w:t>
      </w:r>
      <w:r w:rsidR="00643B88" w:rsidRPr="001A0660">
        <w:rPr>
          <w:rFonts w:hint="cs"/>
          <w:rtl/>
        </w:rPr>
        <w:t xml:space="preserve">מוצע לקבוע </w:t>
      </w:r>
      <w:r w:rsidRPr="001A0660">
        <w:rPr>
          <w:rFonts w:hint="cs"/>
          <w:rtl/>
        </w:rPr>
        <w:t xml:space="preserve">שתקופת הבחינה לעניין </w:t>
      </w:r>
      <w:r w:rsidR="00643B88" w:rsidRPr="001A0660">
        <w:rPr>
          <w:rFonts w:hint="cs"/>
          <w:rtl/>
        </w:rPr>
        <w:t xml:space="preserve">זה </w:t>
      </w:r>
      <w:r w:rsidRPr="001A0660">
        <w:rPr>
          <w:rFonts w:hint="cs"/>
          <w:rtl/>
        </w:rPr>
        <w:t xml:space="preserve">תהיה שנת המס, וזאת במקום תקופת </w:t>
      </w:r>
      <w:r w:rsidR="00643B88" w:rsidRPr="001A0660">
        <w:rPr>
          <w:rFonts w:hint="cs"/>
          <w:rtl/>
        </w:rPr>
        <w:t>ה</w:t>
      </w:r>
      <w:r w:rsidRPr="001A0660">
        <w:rPr>
          <w:rFonts w:hint="cs"/>
          <w:rtl/>
        </w:rPr>
        <w:t xml:space="preserve">בחינה של 30 חודשים מתוך </w:t>
      </w:r>
      <w:r w:rsidR="00643B88" w:rsidRPr="001A0660">
        <w:rPr>
          <w:rFonts w:hint="cs"/>
          <w:rtl/>
        </w:rPr>
        <w:t>תקופה של ארבע</w:t>
      </w:r>
      <w:r w:rsidRPr="001A0660">
        <w:rPr>
          <w:rFonts w:hint="cs"/>
          <w:rtl/>
        </w:rPr>
        <w:t xml:space="preserve"> שנים</w:t>
      </w:r>
      <w:r w:rsidR="00643B88" w:rsidRPr="001A0660">
        <w:rPr>
          <w:rFonts w:hint="cs"/>
          <w:rtl/>
        </w:rPr>
        <w:t xml:space="preserve"> כאמור</w:t>
      </w:r>
      <w:r w:rsidRPr="001A0660">
        <w:rPr>
          <w:rFonts w:hint="cs"/>
          <w:rtl/>
        </w:rPr>
        <w:t>.</w:t>
      </w:r>
      <w:r w:rsidR="0096066C" w:rsidRPr="001A0660">
        <w:rPr>
          <w:rFonts w:hint="cs"/>
          <w:rtl/>
        </w:rPr>
        <w:t xml:space="preserve"> מטרת השינוי היא יצירת ודאות ופשטות באמצעות מבחן בשנת מס השוטפת </w:t>
      </w:r>
      <w:r w:rsidR="00FF4627" w:rsidRPr="001A0660">
        <w:rPr>
          <w:rFonts w:hint="cs"/>
          <w:rtl/>
        </w:rPr>
        <w:t>ש</w:t>
      </w:r>
      <w:r w:rsidR="0096066C" w:rsidRPr="001A0660">
        <w:rPr>
          <w:rFonts w:hint="cs"/>
          <w:rtl/>
        </w:rPr>
        <w:t xml:space="preserve">אינו מחייב בחינה בדיעבד של מספר שנות מס. בנוסף, המבחן </w:t>
      </w:r>
      <w:r w:rsidR="00FF4627" w:rsidRPr="001A0660">
        <w:rPr>
          <w:rFonts w:hint="cs"/>
          <w:rtl/>
        </w:rPr>
        <w:t>המוצע</w:t>
      </w:r>
      <w:r w:rsidR="0096066C" w:rsidRPr="001A0660">
        <w:rPr>
          <w:rFonts w:hint="cs"/>
          <w:rtl/>
        </w:rPr>
        <w:t xml:space="preserve"> </w:t>
      </w:r>
      <w:r w:rsidR="00FF4627" w:rsidRPr="001A0660">
        <w:rPr>
          <w:rFonts w:hint="cs"/>
          <w:rtl/>
        </w:rPr>
        <w:t>מקשה על ביצוע</w:t>
      </w:r>
      <w:r w:rsidR="0096066C" w:rsidRPr="001A0660">
        <w:rPr>
          <w:rFonts w:hint="cs"/>
          <w:rtl/>
        </w:rPr>
        <w:t xml:space="preserve"> מניפולציות על הכנסות החברה לצורך התחמקות מכניסה לתחולת הסעיף, כגון העברת הכנסות בין שנות מס וכדומה.</w:t>
      </w:r>
    </w:p>
    <w:p w14:paraId="4731F46B" w14:textId="77777777" w:rsidR="00643B88" w:rsidRPr="001A0660" w:rsidRDefault="00643B88" w:rsidP="0096066C">
      <w:pPr>
        <w:pStyle w:val="Hesber"/>
        <w:rPr>
          <w:b/>
          <w:bCs/>
          <w:rtl/>
        </w:rPr>
      </w:pPr>
      <w:r w:rsidRPr="001A0660">
        <w:rPr>
          <w:rFonts w:hint="cs"/>
          <w:b/>
          <w:bCs/>
          <w:rtl/>
        </w:rPr>
        <w:t>לפסקה (א)(5)</w:t>
      </w:r>
    </w:p>
    <w:p w14:paraId="627A88E2" w14:textId="77777777" w:rsidR="00FF4627" w:rsidRPr="001A0660" w:rsidRDefault="0096066C" w:rsidP="00FF4627">
      <w:pPr>
        <w:pStyle w:val="Hesber1st"/>
        <w:tabs>
          <w:tab w:val="clear" w:pos="1020"/>
          <w:tab w:val="left" w:pos="424"/>
        </w:tabs>
        <w:rPr>
          <w:rtl/>
        </w:rPr>
      </w:pPr>
      <w:r w:rsidRPr="001A0660">
        <w:rPr>
          <w:rtl/>
        </w:rPr>
        <w:tab/>
      </w:r>
      <w:r w:rsidRPr="001A0660">
        <w:rPr>
          <w:rFonts w:hint="cs"/>
          <w:rtl/>
        </w:rPr>
        <w:t xml:space="preserve">סעיף 62א(א)(4) </w:t>
      </w:r>
      <w:r w:rsidRPr="001A0660">
        <w:rPr>
          <w:rtl/>
        </w:rPr>
        <w:t>קובע כי</w:t>
      </w:r>
      <w:r w:rsidRPr="001A0660">
        <w:rPr>
          <w:rFonts w:hint="cs"/>
          <w:rtl/>
        </w:rPr>
        <w:t xml:space="preserve"> </w:t>
      </w:r>
      <w:r w:rsidRPr="001A0660">
        <w:rPr>
          <w:rtl/>
        </w:rPr>
        <w:t>לא יראו שירות שניתן על ידי שותף בשותפות, לאותה שותפות, כשירות שניתן לאדם אחד</w:t>
      </w:r>
      <w:r w:rsidRPr="001A0660">
        <w:rPr>
          <w:rFonts w:hint="cs"/>
          <w:rtl/>
        </w:rPr>
        <w:t>. בכך, מוחרגים יחידים שהם שותפים הנותנים שירות לשותפות באמצעות חברה מתחולת הסעיף, כך שהם משלמים על ההכנסה שהם מפיקים ממשלח ידם מס חברות.</w:t>
      </w:r>
      <w:r w:rsidRPr="001A0660">
        <w:rPr>
          <w:rtl/>
        </w:rPr>
        <w:t xml:space="preserve"> </w:t>
      </w:r>
      <w:r w:rsidRPr="001A0660">
        <w:rPr>
          <w:rFonts w:hint="cs"/>
          <w:rtl/>
        </w:rPr>
        <w:t>אין הצדקה להחרגה של שותפים כאמור מסעיפי החוק</w:t>
      </w:r>
      <w:r w:rsidRPr="001A0660">
        <w:rPr>
          <w:rtl/>
        </w:rPr>
        <w:t>, וכעת מוצע כי החוק יחול גם עליהם</w:t>
      </w:r>
      <w:r w:rsidRPr="001A0660">
        <w:rPr>
          <w:rFonts w:hint="cs"/>
          <w:rtl/>
        </w:rPr>
        <w:t>, שכן גם התאגדות כחברה לצורך מתן שירות לתאגיד שהוא שותפות מהווה ניצול לרעה של שיטת המיסוי הדו שלבית</w:t>
      </w:r>
      <w:r w:rsidRPr="001A0660">
        <w:rPr>
          <w:rtl/>
        </w:rPr>
        <w:t>.</w:t>
      </w:r>
    </w:p>
    <w:p w14:paraId="11E2220B" w14:textId="77777777" w:rsidR="0096066C" w:rsidRPr="001A0660" w:rsidRDefault="0096066C" w:rsidP="0096066C">
      <w:pPr>
        <w:pStyle w:val="Hesber1st"/>
      </w:pPr>
      <w:r w:rsidRPr="001A0660">
        <w:rPr>
          <w:rFonts w:hint="cs"/>
          <w:b/>
          <w:bCs/>
          <w:rtl/>
        </w:rPr>
        <w:t>לסעיף קטן (ב)</w:t>
      </w:r>
      <w:r w:rsidRPr="001A0660">
        <w:rPr>
          <w:rtl/>
        </w:rPr>
        <w:t xml:space="preserve"> </w:t>
      </w:r>
      <w:r w:rsidR="00896490" w:rsidRPr="001A0660">
        <w:rPr>
          <w:rFonts w:hint="cs"/>
          <w:b/>
          <w:bCs/>
          <w:rtl/>
        </w:rPr>
        <w:t>ו-(ד)</w:t>
      </w:r>
    </w:p>
    <w:p w14:paraId="2B40AE9A" w14:textId="77777777" w:rsidR="00FF4627" w:rsidRPr="001A0660" w:rsidRDefault="00FF4627" w:rsidP="009028F7">
      <w:pPr>
        <w:pStyle w:val="Hesber"/>
        <w:ind w:firstLine="0"/>
        <w:rPr>
          <w:rtl/>
        </w:rPr>
      </w:pPr>
      <w:r w:rsidRPr="001A0660">
        <w:rPr>
          <w:rFonts w:hint="cs"/>
          <w:rtl/>
        </w:rPr>
        <w:t>מוצע להוסיף חלופה נוספת בסעיף 62א לפקודה אשר תחול על חברות מעטים עסקיות שיש להן שיעור רווחיות גבוה מהרגיל מפעילות עתירת יגיעה אישית</w:t>
      </w:r>
      <w:r w:rsidR="009028F7" w:rsidRPr="001A0660">
        <w:rPr>
          <w:rFonts w:hint="cs"/>
          <w:rtl/>
        </w:rPr>
        <w:t xml:space="preserve">. הכנסה מפעילות עתירת יגיעה אישית, כפי שיוסבר להלן, היא פעילות אקטיבית, שהמרכיב הדומיננטי בהפקתה הוא יגיעה אישית. </w:t>
      </w:r>
      <w:r w:rsidRPr="001A0660">
        <w:rPr>
          <w:rFonts w:hint="cs"/>
          <w:rtl/>
        </w:rPr>
        <w:t xml:space="preserve">שיעור רווחיות גבוה מפעילות כאמור, נובעת לרוב, מפעילות של בעלי המניות אשר </w:t>
      </w:r>
      <w:r w:rsidR="00AC658A" w:rsidRPr="001A0660">
        <w:rPr>
          <w:rFonts w:hint="cs"/>
          <w:rtl/>
        </w:rPr>
        <w:t xml:space="preserve">מותירים </w:t>
      </w:r>
      <w:r w:rsidRPr="001A0660">
        <w:rPr>
          <w:rFonts w:hint="cs"/>
          <w:rtl/>
        </w:rPr>
        <w:t>חלק גדול מההכנסה שהפיקו בתוך החברה לצורך הימנעות מתשלום המס השולי החל עליהם</w:t>
      </w:r>
      <w:r w:rsidR="009028F7" w:rsidRPr="001A0660">
        <w:rPr>
          <w:rFonts w:hint="cs"/>
          <w:rtl/>
        </w:rPr>
        <w:t>, כאשר מבחינה מהותית הכנסה זו הייתה צריכה להגיע אליהם באופן ישיר</w:t>
      </w:r>
      <w:r w:rsidRPr="001A0660">
        <w:rPr>
          <w:rFonts w:hint="cs"/>
          <w:rtl/>
        </w:rPr>
        <w:t xml:space="preserve">. </w:t>
      </w:r>
    </w:p>
    <w:p w14:paraId="6B772308" w14:textId="77777777" w:rsidR="009028F7" w:rsidRPr="001A0660" w:rsidRDefault="00FF4627" w:rsidP="009028F7">
      <w:pPr>
        <w:pStyle w:val="Hesber"/>
        <w:rPr>
          <w:rtl/>
        </w:rPr>
      </w:pPr>
      <w:r w:rsidRPr="001A0660">
        <w:rPr>
          <w:rFonts w:hint="cs"/>
          <w:rtl/>
        </w:rPr>
        <w:t>לגבי חברות כאמור, מוצע לקבוע שבעל המניות המהותי הפעיל בחברה (קרי, שהכנסת החברה, כולה או חלקה, מופקת מיגיעתו האישית של בעל המניות), יחויב במס שולי על חלקו בהכנסה החייבת של החברה</w:t>
      </w:r>
      <w:r w:rsidR="00AC658A" w:rsidRPr="001A0660">
        <w:rPr>
          <w:rFonts w:hint="cs"/>
          <w:rtl/>
        </w:rPr>
        <w:t xml:space="preserve"> מפעילות עתירת יגיעה אישית</w:t>
      </w:r>
      <w:r w:rsidRPr="001A0660">
        <w:rPr>
          <w:rFonts w:hint="cs"/>
          <w:rtl/>
        </w:rPr>
        <w:t xml:space="preserve"> העולה על </w:t>
      </w:r>
      <w:r w:rsidR="009028F7" w:rsidRPr="001A0660">
        <w:rPr>
          <w:rFonts w:hint="cs"/>
          <w:rtl/>
        </w:rPr>
        <w:t>שיעור</w:t>
      </w:r>
      <w:r w:rsidRPr="001A0660">
        <w:rPr>
          <w:rFonts w:hint="cs"/>
          <w:rtl/>
        </w:rPr>
        <w:t xml:space="preserve"> של 25% מה</w:t>
      </w:r>
      <w:r w:rsidR="00AC658A" w:rsidRPr="001A0660">
        <w:rPr>
          <w:rFonts w:hint="cs"/>
          <w:rtl/>
        </w:rPr>
        <w:t>ה</w:t>
      </w:r>
      <w:r w:rsidRPr="001A0660">
        <w:rPr>
          <w:rFonts w:hint="cs"/>
          <w:rtl/>
        </w:rPr>
        <w:t xml:space="preserve">כנסה </w:t>
      </w:r>
      <w:r w:rsidR="00AC658A" w:rsidRPr="001A0660">
        <w:rPr>
          <w:rFonts w:hint="cs"/>
          <w:rtl/>
        </w:rPr>
        <w:t>האמורה</w:t>
      </w:r>
      <w:r w:rsidRPr="001A0660">
        <w:rPr>
          <w:rFonts w:hint="cs"/>
          <w:rtl/>
        </w:rPr>
        <w:t>. הסכום האמור יופחת ככל ששיעור הרווחיות של החברה עולה עד לשחיקה מלאה בשיעור רווחיות של 100%, במנגנון של "תקרה מתקפלת"</w:t>
      </w:r>
      <w:r w:rsidR="009028F7" w:rsidRPr="001A0660">
        <w:rPr>
          <w:rFonts w:hint="cs"/>
          <w:rtl/>
        </w:rPr>
        <w:t>.</w:t>
      </w:r>
    </w:p>
    <w:p w14:paraId="5487E8FC" w14:textId="77777777" w:rsidR="009028F7" w:rsidRPr="001A0660" w:rsidRDefault="009028F7" w:rsidP="009028F7">
      <w:pPr>
        <w:pStyle w:val="Hesber"/>
        <w:rPr>
          <w:rtl/>
        </w:rPr>
      </w:pPr>
      <w:r w:rsidRPr="001A0660">
        <w:rPr>
          <w:rFonts w:hint="cs"/>
          <w:rtl/>
        </w:rPr>
        <w:t xml:space="preserve">שיעור הרווחיות מאפשר לזהות בוודאות קרובה חברות שעיקר ההכנסה שלהן נובע ממשלח </w:t>
      </w:r>
      <w:r w:rsidR="00AC658A" w:rsidRPr="001A0660">
        <w:rPr>
          <w:rFonts w:hint="cs"/>
          <w:rtl/>
        </w:rPr>
        <w:t xml:space="preserve">ידם </w:t>
      </w:r>
      <w:r w:rsidRPr="001A0660">
        <w:rPr>
          <w:rFonts w:hint="cs"/>
          <w:rtl/>
        </w:rPr>
        <w:t>או מפעילותם של בעלי מניותיהן, שכן מדובר בשיעור רווח חריג שלא אופייני לחברה שיש לה פעילות עסקית משמעותית המחייבת השקעה ברכוש קבוע ובעובדים. יחד עם זאת, מנגנון המיסוי המוצע מאפשר מיסוי בשיעור מס חברות עד לשיעור מהמחזור שמצביע על שיעור רווחיות סביר של חברות, אם כי בטווח הגבוה, וזאת בשם עיקרון השמרנות. ככל ששיעור הרווחיות עולה, כך הניכוי בשל שיעור הרווחיות ה"נורמלי" נשחק עד למחיקה שלו בשיעור רווחיות של 100%</w:t>
      </w:r>
      <w:r w:rsidR="00AC658A" w:rsidRPr="001A0660">
        <w:rPr>
          <w:rFonts w:hint="cs"/>
          <w:rtl/>
        </w:rPr>
        <w:t>. שיעור שמייצג חברות שאין להן הוצאות כלל</w:t>
      </w:r>
      <w:r w:rsidRPr="001A0660">
        <w:rPr>
          <w:rFonts w:hint="cs"/>
          <w:rtl/>
        </w:rPr>
        <w:t>.</w:t>
      </w:r>
    </w:p>
    <w:p w14:paraId="7D01E7C8" w14:textId="77777777" w:rsidR="00896490" w:rsidRPr="001A0660" w:rsidRDefault="00AC658A" w:rsidP="00896490">
      <w:pPr>
        <w:pStyle w:val="Hesber"/>
        <w:rPr>
          <w:rtl/>
        </w:rPr>
      </w:pPr>
      <w:r w:rsidRPr="001A0660">
        <w:rPr>
          <w:rFonts w:hint="cs"/>
          <w:rtl/>
        </w:rPr>
        <w:t xml:space="preserve">בניגוד לדין החל לגבי חברות שכיר לפי סעיף 62א הקיים, </w:t>
      </w:r>
      <w:r w:rsidR="00896490" w:rsidRPr="001A0660">
        <w:rPr>
          <w:rFonts w:hint="cs"/>
          <w:rtl/>
        </w:rPr>
        <w:t xml:space="preserve">לפי המוצע, ההכנסה תיוחס לבעל מניות הפעיל בחברה לפי שיעור החזקתו בחברה ללא תלות בגובה ההכנסה שניתן לייחס לפעילותו באופן ספציפי. </w:t>
      </w:r>
      <w:r w:rsidRPr="001A0660">
        <w:rPr>
          <w:rFonts w:hint="cs"/>
          <w:rtl/>
        </w:rPr>
        <w:t xml:space="preserve">שיטה זו </w:t>
      </w:r>
      <w:r w:rsidR="00896490" w:rsidRPr="001A0660">
        <w:rPr>
          <w:rFonts w:hint="cs"/>
          <w:rtl/>
        </w:rPr>
        <w:t>מאפשר</w:t>
      </w:r>
      <w:r w:rsidRPr="001A0660">
        <w:rPr>
          <w:rFonts w:hint="cs"/>
          <w:rtl/>
        </w:rPr>
        <w:t>ת</w:t>
      </w:r>
      <w:r w:rsidR="00896490" w:rsidRPr="001A0660">
        <w:rPr>
          <w:rFonts w:hint="cs"/>
          <w:rtl/>
        </w:rPr>
        <w:t xml:space="preserve"> פשטות ווודאות יחסית בקביעת גובה ההכנסה אותה יש לייחס לבעל המניות, בייחוד במקרים בהם ישנם מספר בעלי מניות בחברה הפעילים בהפקת </w:t>
      </w:r>
      <w:r w:rsidRPr="001A0660">
        <w:rPr>
          <w:rFonts w:hint="cs"/>
          <w:rtl/>
        </w:rPr>
        <w:t>ה</w:t>
      </w:r>
      <w:r w:rsidR="00896490" w:rsidRPr="001A0660">
        <w:rPr>
          <w:rFonts w:hint="cs"/>
          <w:rtl/>
        </w:rPr>
        <w:t>הכנסה. עם זאת, לא תיוחס הכנסה ליחיד אם כל מעורבותו בחברה היא רק כמשקיע אשר אינו קשור לניהול החברה או לפעילותה כלל</w:t>
      </w:r>
      <w:r w:rsidR="005B22B8" w:rsidRPr="001A0660">
        <w:rPr>
          <w:rFonts w:hint="cs"/>
          <w:rtl/>
        </w:rPr>
        <w:t>, אלא אם הוא מחזיק בחברה ב-25% מאמצעי השליטה ומעלה</w:t>
      </w:r>
      <w:r w:rsidR="00896490" w:rsidRPr="001A0660">
        <w:rPr>
          <w:rFonts w:hint="cs"/>
          <w:rtl/>
        </w:rPr>
        <w:t xml:space="preserve">. בדומה לסעיף הקיים, ההכנסה שתיוחס לבעל המניות הפעיל בחברה תחשב כהכנסתו </w:t>
      </w:r>
      <w:r w:rsidR="00896490" w:rsidRPr="001A0660">
        <w:rPr>
          <w:rtl/>
        </w:rPr>
        <w:t>לפי סעיף 2(1)</w:t>
      </w:r>
      <w:r w:rsidR="00896490" w:rsidRPr="001A0660">
        <w:rPr>
          <w:rFonts w:hint="cs"/>
          <w:rtl/>
        </w:rPr>
        <w:t xml:space="preserve"> (הכנסה מעסק או משלח יד)</w:t>
      </w:r>
      <w:r w:rsidR="00896490" w:rsidRPr="001A0660">
        <w:rPr>
          <w:rtl/>
        </w:rPr>
        <w:t xml:space="preserve">, </w:t>
      </w:r>
      <w:r w:rsidR="00896490" w:rsidRPr="001A0660">
        <w:rPr>
          <w:rFonts w:hint="cs"/>
          <w:rtl/>
        </w:rPr>
        <w:t>2</w:t>
      </w:r>
      <w:r w:rsidR="00896490" w:rsidRPr="001A0660">
        <w:rPr>
          <w:rtl/>
        </w:rPr>
        <w:t>(2)</w:t>
      </w:r>
      <w:r w:rsidR="00896490" w:rsidRPr="001A0660">
        <w:rPr>
          <w:rFonts w:hint="cs"/>
          <w:rtl/>
        </w:rPr>
        <w:t xml:space="preserve"> (הכנסה מעסק או משלח יד) </w:t>
      </w:r>
      <w:r w:rsidR="00896490" w:rsidRPr="001A0660">
        <w:rPr>
          <w:rtl/>
        </w:rPr>
        <w:t xml:space="preserve"> או (10)</w:t>
      </w:r>
      <w:r w:rsidR="00896490" w:rsidRPr="001A0660">
        <w:rPr>
          <w:rFonts w:hint="cs"/>
          <w:rtl/>
        </w:rPr>
        <w:t xml:space="preserve"> (השתכרות או רווח ממקור אחר)</w:t>
      </w:r>
      <w:r w:rsidR="00896490" w:rsidRPr="001A0660">
        <w:rPr>
          <w:rtl/>
        </w:rPr>
        <w:t>,</w:t>
      </w:r>
      <w:r w:rsidR="00896490" w:rsidRPr="001A0660">
        <w:rPr>
          <w:rFonts w:hint="cs"/>
          <w:rtl/>
        </w:rPr>
        <w:t xml:space="preserve"> לפי העניין.  </w:t>
      </w:r>
    </w:p>
    <w:p w14:paraId="4D25D47F" w14:textId="77777777" w:rsidR="00031822" w:rsidRPr="001A0660" w:rsidRDefault="00031822" w:rsidP="00031822">
      <w:pPr>
        <w:pStyle w:val="Hesber"/>
        <w:rPr>
          <w:rtl/>
        </w:rPr>
      </w:pPr>
      <w:r w:rsidRPr="001A0660">
        <w:rPr>
          <w:rFonts w:hint="cs"/>
          <w:rtl/>
        </w:rPr>
        <w:t xml:space="preserve">הסעיף המוצע נועד לחול לגבי חברות קטנות באופן יחסי אשר </w:t>
      </w:r>
      <w:r w:rsidRPr="001A0660">
        <w:rPr>
          <w:rtl/>
        </w:rPr>
        <w:t>ההכנסה מפעילות עתירת יגיעה אישית של</w:t>
      </w:r>
      <w:r w:rsidRPr="001A0660">
        <w:rPr>
          <w:rFonts w:hint="cs"/>
          <w:rtl/>
        </w:rPr>
        <w:t>הן</w:t>
      </w:r>
      <w:r w:rsidRPr="001A0660">
        <w:rPr>
          <w:rtl/>
        </w:rPr>
        <w:t xml:space="preserve"> נמוכה מ-30 מיליון שקלים חדשים בשנת המס</w:t>
      </w:r>
      <w:r w:rsidRPr="001A0660">
        <w:rPr>
          <w:rFonts w:hint="cs"/>
          <w:rtl/>
        </w:rPr>
        <w:t>. בחברות גדולות יותר המרכיב ההוני</w:t>
      </w:r>
      <w:r w:rsidR="005B22B8" w:rsidRPr="001A0660">
        <w:rPr>
          <w:rFonts w:hint="cs"/>
          <w:rtl/>
        </w:rPr>
        <w:t xml:space="preserve"> והמאפיינים המייצגים פעילות תאגידית קלאסית</w:t>
      </w:r>
      <w:r w:rsidRPr="001A0660">
        <w:rPr>
          <w:rFonts w:hint="cs"/>
          <w:rtl/>
        </w:rPr>
        <w:t xml:space="preserve"> יכול</w:t>
      </w:r>
      <w:r w:rsidR="005B22B8" w:rsidRPr="001A0660">
        <w:rPr>
          <w:rFonts w:hint="cs"/>
          <w:rtl/>
        </w:rPr>
        <w:t>ים</w:t>
      </w:r>
      <w:r w:rsidRPr="001A0660">
        <w:rPr>
          <w:rFonts w:hint="cs"/>
          <w:rtl/>
        </w:rPr>
        <w:t xml:space="preserve"> להיות יותר דומיננטי</w:t>
      </w:r>
      <w:r w:rsidR="005B22B8" w:rsidRPr="001A0660">
        <w:rPr>
          <w:rFonts w:hint="cs"/>
          <w:rtl/>
        </w:rPr>
        <w:t>ים</w:t>
      </w:r>
      <w:r w:rsidRPr="001A0660">
        <w:rPr>
          <w:rFonts w:hint="cs"/>
          <w:rtl/>
        </w:rPr>
        <w:t xml:space="preserve"> ברווחיות החריגה של החברה, </w:t>
      </w:r>
      <w:r w:rsidR="005B22B8" w:rsidRPr="001A0660">
        <w:rPr>
          <w:rFonts w:hint="cs"/>
          <w:rtl/>
        </w:rPr>
        <w:t>אשר מצדיק במידה רבה יותר</w:t>
      </w:r>
      <w:r w:rsidRPr="001A0660">
        <w:rPr>
          <w:rFonts w:hint="cs"/>
          <w:rtl/>
        </w:rPr>
        <w:t xml:space="preserve"> </w:t>
      </w:r>
      <w:r w:rsidR="005B22B8" w:rsidRPr="001A0660">
        <w:rPr>
          <w:rFonts w:hint="cs"/>
          <w:rtl/>
        </w:rPr>
        <w:t>את</w:t>
      </w:r>
      <w:r w:rsidRPr="001A0660">
        <w:rPr>
          <w:rFonts w:hint="cs"/>
          <w:rtl/>
        </w:rPr>
        <w:t xml:space="preserve"> התאגדותן כחברה.</w:t>
      </w:r>
    </w:p>
    <w:p w14:paraId="3F55FB41" w14:textId="77777777" w:rsidR="00031822" w:rsidRPr="001A0660" w:rsidRDefault="00031822" w:rsidP="00031822">
      <w:pPr>
        <w:pStyle w:val="Hesber"/>
        <w:rPr>
          <w:rtl/>
        </w:rPr>
      </w:pPr>
      <w:r w:rsidRPr="001A0660">
        <w:rPr>
          <w:rFonts w:hint="cs"/>
          <w:rtl/>
        </w:rPr>
        <w:t>במסגרת מנגנון זה מוצע שהכנסה תמוסה לפי הסעיף החדש רק אם לא מוסתה בשיעור מס של יחיד לפי הוראות החוק הקיימות.</w:t>
      </w:r>
    </w:p>
    <w:p w14:paraId="6094D4C3" w14:textId="77777777" w:rsidR="008C0CCC" w:rsidRPr="001A0660" w:rsidRDefault="00031822" w:rsidP="00031822">
      <w:pPr>
        <w:pStyle w:val="Hesber"/>
        <w:rPr>
          <w:rtl/>
        </w:rPr>
      </w:pPr>
      <w:r w:rsidRPr="001A0660">
        <w:rPr>
          <w:rFonts w:hint="cs"/>
          <w:rtl/>
        </w:rPr>
        <w:t>ב</w:t>
      </w:r>
      <w:r w:rsidR="008C0CCC" w:rsidRPr="001A0660">
        <w:rPr>
          <w:rFonts w:hint="cs"/>
          <w:rtl/>
        </w:rPr>
        <w:t>פסקה</w:t>
      </w:r>
      <w:r w:rsidRPr="001A0660">
        <w:rPr>
          <w:rFonts w:hint="cs"/>
          <w:rtl/>
        </w:rPr>
        <w:t xml:space="preserve"> (ד) מוצעות ההגדרות הנדרשות לצורך סעיף זה.</w:t>
      </w:r>
    </w:p>
    <w:p w14:paraId="48B3291C" w14:textId="77777777" w:rsidR="008C0CCC" w:rsidRPr="001A0660" w:rsidRDefault="008C0CCC" w:rsidP="00145C0D">
      <w:pPr>
        <w:pStyle w:val="Hesber"/>
        <w:rPr>
          <w:rtl/>
        </w:rPr>
      </w:pPr>
      <w:r w:rsidRPr="001A0660">
        <w:rPr>
          <w:rFonts w:hint="cs"/>
          <w:rtl/>
        </w:rPr>
        <w:t xml:space="preserve">בין השאר מוצע להגדיר "הכנסה מפעילות עתירת יגיעה אישית". </w:t>
      </w:r>
      <w:r w:rsidR="009A0CEA" w:rsidRPr="001A0660">
        <w:rPr>
          <w:rFonts w:hint="cs"/>
          <w:rtl/>
        </w:rPr>
        <w:t xml:space="preserve">הכנסה זו </w:t>
      </w:r>
      <w:r w:rsidR="00145C0D" w:rsidRPr="001A0660">
        <w:rPr>
          <w:rFonts w:hint="cs"/>
          <w:rtl/>
        </w:rPr>
        <w:t xml:space="preserve">כוללת למעשה סוגי הכנסות שניתן לסווגן רק כהכנסה מעסק או משלח יד, בשונה מהכנסה שניתן לסווגה גם כהכנסה מריבית, דיבידנד, רווח הון וכד'. </w:t>
      </w:r>
      <w:r w:rsidRPr="001A0660">
        <w:rPr>
          <w:rFonts w:hint="cs"/>
          <w:rtl/>
        </w:rPr>
        <w:t>לפי ההגדרה</w:t>
      </w:r>
      <w:r w:rsidR="009A0CEA" w:rsidRPr="001A0660">
        <w:rPr>
          <w:rFonts w:hint="cs"/>
          <w:rtl/>
        </w:rPr>
        <w:t>,</w:t>
      </w:r>
      <w:r w:rsidRPr="001A0660">
        <w:rPr>
          <w:rFonts w:hint="cs"/>
          <w:rtl/>
        </w:rPr>
        <w:t xml:space="preserve"> הכנסה מפעילות עתירת יגיעה אישית היא הגדרה שיורית שכוללת את כלל הכנסות החברה </w:t>
      </w:r>
      <w:r w:rsidR="009A0CEA" w:rsidRPr="001A0660">
        <w:rPr>
          <w:rFonts w:hint="cs"/>
          <w:rtl/>
        </w:rPr>
        <w:t xml:space="preserve">שאינן </w:t>
      </w:r>
      <w:r w:rsidRPr="001A0660">
        <w:rPr>
          <w:rFonts w:hint="cs"/>
          <w:rtl/>
        </w:rPr>
        <w:t xml:space="preserve">"הכנסה אחרת". </w:t>
      </w:r>
    </w:p>
    <w:p w14:paraId="1C3D0312" w14:textId="77777777" w:rsidR="009A0CEA" w:rsidRPr="001A0660" w:rsidRDefault="008C0CCC" w:rsidP="002D74C3">
      <w:pPr>
        <w:pStyle w:val="Hesber"/>
        <w:rPr>
          <w:rtl/>
        </w:rPr>
      </w:pPr>
      <w:r w:rsidRPr="001A0660">
        <w:rPr>
          <w:rFonts w:hint="cs"/>
          <w:rtl/>
        </w:rPr>
        <w:t xml:space="preserve">"הכנסה אחרת" היא </w:t>
      </w:r>
      <w:r w:rsidR="00FC4C58" w:rsidRPr="001A0660">
        <w:rPr>
          <w:rFonts w:hint="cs"/>
          <w:rtl/>
        </w:rPr>
        <w:t>כל אחת מסוגי ההכנסות המפורטות בהגדרה, אשר כוללות סוגי הכנסות שיש בהן מרכיב הוני משמעותי כהכנסה מריבית, הפרשי הצמדה או דמי ניכיון, הכנסה מתמלוגים, דמי שכירות או תמורה ממכירת נכס הוני או זכות במקרקעין. יובהר כי מכירת מלאי עסקי אינה נחשבת תמורה  ממכירת נכס, ועל כן מכירת מלאי עסקי תוכל להחשב כהכנסה עתירת יגיעה אישית (אלא אם מדובר במכירה של מלאי של נכסים פיננסיים אשר תחשב תמיד כהכנסה אחרת). במסגרת הסעיף מובהר כי הסיווג של הכנסה כהכנסה אחרת איננה מקבילה לסיווג ההכנסה כהכנסה מעסק או משלח יד. כך, גם הכנסה אשר נחשבת כהכנסה מעסק לפי דיני המס בישראל, תוכל להיכלל כהכנסה אחרת אם היא מפורטת בסעיף. כך לדוגמא, הכנסה מהשכרת בניין משרדים על ידי חברה העוסקת בהשכרת משרדים לא תיכלל כהכנסה עתירת יגיעה אישית אף שהיא הכנסה מעסק, ועל כן, לא תיוחס לבעל המניות לפי הוראות הסעיף. מאידך, הכנסה זו גם לא תיכלל בחישוב שיעור הרווחיות, ועל כן, אם לאותה חברה יש גם פעילות עתירת יגיעה אישית שיש בה רווחיות חריגה, ייתכן שה</w:t>
      </w:r>
      <w:r w:rsidR="002D74C3" w:rsidRPr="001A0660">
        <w:rPr>
          <w:rFonts w:hint="cs"/>
          <w:rtl/>
        </w:rPr>
        <w:t>ה</w:t>
      </w:r>
      <w:r w:rsidR="00FC4C58" w:rsidRPr="001A0660">
        <w:rPr>
          <w:rFonts w:hint="cs"/>
          <w:rtl/>
        </w:rPr>
        <w:t xml:space="preserve">כנסה </w:t>
      </w:r>
      <w:r w:rsidR="002D74C3" w:rsidRPr="001A0660">
        <w:rPr>
          <w:rFonts w:hint="cs"/>
          <w:rtl/>
        </w:rPr>
        <w:t>מפעילות עתירת יגיעה האישית</w:t>
      </w:r>
      <w:r w:rsidR="00FC4C58" w:rsidRPr="001A0660">
        <w:rPr>
          <w:rFonts w:hint="cs"/>
          <w:rtl/>
        </w:rPr>
        <w:t xml:space="preserve"> תיוחס לבעל המניות.</w:t>
      </w:r>
      <w:r w:rsidR="002D74C3" w:rsidRPr="001A0660">
        <w:rPr>
          <w:rFonts w:hint="cs"/>
          <w:rtl/>
        </w:rPr>
        <w:t xml:space="preserve"> </w:t>
      </w:r>
    </w:p>
    <w:p w14:paraId="6BAB9298" w14:textId="77777777" w:rsidR="008C0CCC" w:rsidRPr="001A0660" w:rsidRDefault="002D74C3" w:rsidP="002D74C3">
      <w:pPr>
        <w:pStyle w:val="Hesber"/>
        <w:rPr>
          <w:rtl/>
        </w:rPr>
      </w:pPr>
      <w:r w:rsidRPr="001A0660">
        <w:rPr>
          <w:rFonts w:hint="cs"/>
          <w:rtl/>
        </w:rPr>
        <w:t>עם זאת,</w:t>
      </w:r>
      <w:r w:rsidR="009A0CEA" w:rsidRPr="001A0660">
        <w:rPr>
          <w:rFonts w:hint="cs"/>
          <w:rtl/>
        </w:rPr>
        <w:t xml:space="preserve"> יובהר,</w:t>
      </w:r>
      <w:r w:rsidRPr="001A0660">
        <w:rPr>
          <w:rFonts w:hint="cs"/>
          <w:rtl/>
        </w:rPr>
        <w:t xml:space="preserve"> </w:t>
      </w:r>
      <w:r w:rsidR="009A0CEA" w:rsidRPr="001A0660">
        <w:rPr>
          <w:rFonts w:hint="cs"/>
          <w:rtl/>
        </w:rPr>
        <w:t>ש</w:t>
      </w:r>
      <w:r w:rsidRPr="001A0660">
        <w:rPr>
          <w:rFonts w:hint="cs"/>
          <w:rtl/>
        </w:rPr>
        <w:t>ככל שהכנסה היא אינצידנטלית להכנסה מפעילות עתירת יגיעה אישית, בהתאם לעקרונות הכלליים שבפקודה</w:t>
      </w:r>
      <w:r w:rsidR="009A0CEA" w:rsidRPr="001A0660">
        <w:rPr>
          <w:rFonts w:hint="cs"/>
          <w:rtl/>
        </w:rPr>
        <w:t>,</w:t>
      </w:r>
      <w:r w:rsidRPr="001A0660">
        <w:rPr>
          <w:rFonts w:hint="cs"/>
          <w:rtl/>
        </w:rPr>
        <w:t xml:space="preserve"> היא תיוחס כחלק מההכנסה מהפעילות עצמה</w:t>
      </w:r>
      <w:r w:rsidR="009A0CEA" w:rsidRPr="001A0660">
        <w:rPr>
          <w:rFonts w:hint="cs"/>
          <w:rtl/>
        </w:rPr>
        <w:t xml:space="preserve"> אף אם היא מוזכרת בהגדרה "הכנסה אחרת"</w:t>
      </w:r>
      <w:r w:rsidRPr="001A0660">
        <w:rPr>
          <w:rFonts w:hint="cs"/>
          <w:rtl/>
        </w:rPr>
        <w:t xml:space="preserve">. כך לדוגמה, עסקה למתן שירותים או למכר מלאי, שהתמורה שהוסכם לגביה כוללת </w:t>
      </w:r>
      <w:r w:rsidRPr="001A0660">
        <w:rPr>
          <w:rtl/>
        </w:rPr>
        <w:t>הוצאה אחרת בביצוע העסקה שעל פי ההסכם על הקונה להחזירה לרבות עמלה או ריבית בשל תשלום לשיעורין</w:t>
      </w:r>
      <w:r w:rsidR="009A0CEA" w:rsidRPr="001A0660">
        <w:rPr>
          <w:rFonts w:hint="cs"/>
          <w:rtl/>
        </w:rPr>
        <w:t>,</w:t>
      </w:r>
      <w:r w:rsidRPr="001A0660">
        <w:rPr>
          <w:rtl/>
        </w:rPr>
        <w:t xml:space="preserve"> ריבית או כל תשלום אחר בשל פיגור בתשלו</w:t>
      </w:r>
      <w:r w:rsidRPr="001A0660">
        <w:rPr>
          <w:rFonts w:hint="cs"/>
          <w:rtl/>
        </w:rPr>
        <w:t>ם, כן תיכלל כהכנסה עתירת יגיעה אישית.</w:t>
      </w:r>
      <w:r w:rsidR="00FC4C58" w:rsidRPr="001A0660">
        <w:rPr>
          <w:rFonts w:hint="cs"/>
          <w:rtl/>
        </w:rPr>
        <w:t xml:space="preserve"> </w:t>
      </w:r>
    </w:p>
    <w:p w14:paraId="3023AEE1" w14:textId="77777777" w:rsidR="00FC4C58" w:rsidRPr="001A0660" w:rsidRDefault="00FC4C58" w:rsidP="00031822">
      <w:pPr>
        <w:pStyle w:val="Hesber"/>
        <w:rPr>
          <w:rtl/>
        </w:rPr>
      </w:pPr>
      <w:r w:rsidRPr="001A0660">
        <w:rPr>
          <w:rFonts w:hint="cs"/>
          <w:rtl/>
        </w:rPr>
        <w:t xml:space="preserve">ביחס להכנסה מדיבידנד, מוצע שאם </w:t>
      </w:r>
      <w:r w:rsidRPr="001A0660">
        <w:rPr>
          <w:rtl/>
        </w:rPr>
        <w:t>דיבידנד חולק לחברת מעטים שבעל מניות מהותי בה, נותן שירות, במישרין או בעקיפין, לחברה מחלקת הדיבידנד</w:t>
      </w:r>
      <w:r w:rsidRPr="001A0660">
        <w:rPr>
          <w:rFonts w:hint="cs"/>
          <w:rtl/>
        </w:rPr>
        <w:t xml:space="preserve">, הכנסה זו תחשב כהכנסה עתירת יגיעה אישית. כלל זה נועד </w:t>
      </w:r>
      <w:r w:rsidR="0074588A" w:rsidRPr="001A0660">
        <w:rPr>
          <w:rFonts w:hint="cs"/>
          <w:rtl/>
        </w:rPr>
        <w:t>בשל השליטה של בעל המניות בסיווג ההכנסה שיקבל מהחברה מחלקת הדיבידנד, ו</w:t>
      </w:r>
      <w:r w:rsidR="0074588A" w:rsidRPr="001A0660">
        <w:rPr>
          <w:rtl/>
        </w:rPr>
        <w:t xml:space="preserve">כדי למנוע מצב בו </w:t>
      </w:r>
      <w:r w:rsidR="009A0CEA" w:rsidRPr="001A0660">
        <w:rPr>
          <w:rFonts w:hint="cs"/>
          <w:rtl/>
        </w:rPr>
        <w:t>מקבל השירות</w:t>
      </w:r>
      <w:r w:rsidR="0074588A" w:rsidRPr="001A0660">
        <w:rPr>
          <w:rtl/>
        </w:rPr>
        <w:t xml:space="preserve"> יבחר להעביר תשלום בגין </w:t>
      </w:r>
      <w:r w:rsidR="009A0CEA" w:rsidRPr="001A0660">
        <w:rPr>
          <w:rFonts w:hint="cs"/>
          <w:rtl/>
        </w:rPr>
        <w:t>ה</w:t>
      </w:r>
      <w:r w:rsidR="0074588A" w:rsidRPr="001A0660">
        <w:rPr>
          <w:rtl/>
        </w:rPr>
        <w:t xml:space="preserve">שירותים באמצעות חלוקת דיבידנד לחברת המעטים בכדי להימנע מכניסה לתחולת הסעיף. </w:t>
      </w:r>
    </w:p>
    <w:p w14:paraId="63F8C9AC" w14:textId="77777777" w:rsidR="00FF4627" w:rsidRPr="001A0660" w:rsidRDefault="00031822" w:rsidP="0074588A">
      <w:pPr>
        <w:pStyle w:val="Hesber"/>
        <w:rPr>
          <w:rtl/>
        </w:rPr>
      </w:pPr>
      <w:r w:rsidRPr="001A0660">
        <w:rPr>
          <w:rFonts w:hint="cs"/>
          <w:rtl/>
        </w:rPr>
        <w:t xml:space="preserve"> </w:t>
      </w:r>
      <w:r w:rsidR="0074588A" w:rsidRPr="001A0660">
        <w:rPr>
          <w:rFonts w:hint="cs"/>
          <w:rtl/>
        </w:rPr>
        <w:t xml:space="preserve">ההגדרות "מקדם" ו-"שיעור רווחיות" נועדו לצורך הבהרת אופן חישוב חלק ההכנסה החייבת עתירת יגיעה אישית של חברת המעטים אשר תיוחס לבעלי המניות המהותיים, ולצורך יצירת המנגנון של התקרה המתקפלת. לפי המוצע חלק ההכנסה החייבת של חברת המעטים אשר תיוחס לבעלי המניות המהותיים בחברת המעטים יהיה בגובה ההכנסה החייבת של החברה בהפחתת סכום בגובה </w:t>
      </w:r>
      <w:r w:rsidR="00FF4627" w:rsidRPr="001A0660">
        <w:rPr>
          <w:rFonts w:hint="cs"/>
          <w:rtl/>
        </w:rPr>
        <w:t xml:space="preserve">ההכנסה </w:t>
      </w:r>
      <w:r w:rsidR="0074588A" w:rsidRPr="001A0660">
        <w:rPr>
          <w:rFonts w:hint="cs"/>
          <w:rtl/>
        </w:rPr>
        <w:t xml:space="preserve">של החברה מוכפל במקדם </w:t>
      </w:r>
      <w:r w:rsidR="00FF4627" w:rsidRPr="001A0660">
        <w:rPr>
          <w:rFonts w:hint="cs"/>
          <w:rtl/>
        </w:rPr>
        <w:t>הייחוס</w:t>
      </w:r>
      <w:r w:rsidR="00975121" w:rsidRPr="001A0660">
        <w:rPr>
          <w:rFonts w:hint="cs"/>
          <w:rtl/>
        </w:rPr>
        <w:t xml:space="preserve"> </w:t>
      </w:r>
      <w:r w:rsidR="00FF4627" w:rsidRPr="001A0660">
        <w:rPr>
          <w:rFonts w:hint="cs"/>
          <w:rtl/>
        </w:rPr>
        <w:t>(</w:t>
      </w:r>
      <w:r w:rsidR="00975121" w:rsidRPr="001A0660">
        <w:rPr>
          <w:rFonts w:hint="cs"/>
          <w:rtl/>
        </w:rPr>
        <w:t>133% מוכפל בתוצאה המתקבלת מהפחתת שיעור הרווחיות מ-1</w:t>
      </w:r>
      <w:r w:rsidR="00FF4627" w:rsidRPr="001A0660">
        <w:rPr>
          <w:rFonts w:hint="cs"/>
          <w:rtl/>
        </w:rPr>
        <w:t xml:space="preserve">). </w:t>
      </w:r>
    </w:p>
    <w:p w14:paraId="5A5DC6D1" w14:textId="77777777" w:rsidR="00FF4627" w:rsidRPr="001A0660" w:rsidRDefault="00145C0D" w:rsidP="00FF4627">
      <w:pPr>
        <w:pStyle w:val="Hesber"/>
        <w:rPr>
          <w:rtl/>
        </w:rPr>
      </w:pPr>
      <w:r w:rsidRPr="001A0660">
        <w:rPr>
          <w:rFonts w:hint="cs"/>
          <w:rtl/>
        </w:rPr>
        <w:t>לפי ההגדרה "שיעור הרווחיות", בקביעת שיעור זה, יש להתחשב רק בהכנסה עתירת יגיעה אישית. כמו כן, מוצע שלא לאפשר להקטין את שיעור הרווחיות באמצעות תשלומים לחברה שיש לחברת המעטים יחסים מיוחדים עימה.</w:t>
      </w:r>
      <w:r w:rsidR="00070FC2" w:rsidRPr="001A0660">
        <w:rPr>
          <w:rFonts w:hint="cs"/>
          <w:rtl/>
        </w:rPr>
        <w:t xml:space="preserve"> עם זאת, </w:t>
      </w:r>
      <w:r w:rsidR="00975121" w:rsidRPr="001A0660">
        <w:rPr>
          <w:rFonts w:hint="cs"/>
          <w:rtl/>
        </w:rPr>
        <w:t>יתאפשר</w:t>
      </w:r>
      <w:r w:rsidR="00070FC2" w:rsidRPr="001A0660">
        <w:rPr>
          <w:rFonts w:hint="cs"/>
          <w:rtl/>
        </w:rPr>
        <w:t xml:space="preserve"> לחברות להקטין את שיעור הרווחיות</w:t>
      </w:r>
      <w:r w:rsidR="00975121" w:rsidRPr="001A0660">
        <w:rPr>
          <w:rFonts w:hint="cs"/>
          <w:rtl/>
        </w:rPr>
        <w:t xml:space="preserve"> שלהן</w:t>
      </w:r>
      <w:r w:rsidR="00070FC2" w:rsidRPr="001A0660">
        <w:rPr>
          <w:rFonts w:hint="cs"/>
          <w:rtl/>
        </w:rPr>
        <w:t xml:space="preserve"> באמצעות תשלום משכורת או ריבית לבעל המניות היחיד</w:t>
      </w:r>
      <w:r w:rsidR="00975121" w:rsidRPr="001A0660">
        <w:rPr>
          <w:rFonts w:hint="cs"/>
          <w:rtl/>
        </w:rPr>
        <w:t xml:space="preserve"> אשר ישלם מס מלא על הכנסתו</w:t>
      </w:r>
      <w:r w:rsidR="00070FC2" w:rsidRPr="001A0660">
        <w:rPr>
          <w:rFonts w:hint="cs"/>
          <w:rtl/>
        </w:rPr>
        <w:t xml:space="preserve">, ובכך לא להיכנס למסגרת מנגנון התקרה המתקפלת. </w:t>
      </w:r>
    </w:p>
    <w:p w14:paraId="5AA11904" w14:textId="77777777" w:rsidR="00FF4627" w:rsidRPr="001A0660" w:rsidRDefault="00975121" w:rsidP="00FF4627">
      <w:pPr>
        <w:pStyle w:val="Hesber"/>
        <w:rPr>
          <w:rtl/>
        </w:rPr>
      </w:pPr>
      <w:r w:rsidRPr="001A0660">
        <w:rPr>
          <w:rFonts w:hint="cs"/>
          <w:rtl/>
        </w:rPr>
        <w:t xml:space="preserve">יובהר כי </w:t>
      </w:r>
      <w:r w:rsidR="00FF4627" w:rsidRPr="001A0660">
        <w:rPr>
          <w:rFonts w:hint="cs"/>
          <w:rtl/>
        </w:rPr>
        <w:t xml:space="preserve">הפעילות שאינה ממוסה לפי חלופה זו </w:t>
      </w:r>
      <w:r w:rsidR="008D76B3" w:rsidRPr="001A0660">
        <w:rPr>
          <w:rFonts w:hint="cs"/>
          <w:rtl/>
        </w:rPr>
        <w:t>יכול ו</w:t>
      </w:r>
      <w:r w:rsidR="00FF4627" w:rsidRPr="001A0660">
        <w:rPr>
          <w:rFonts w:hint="cs"/>
          <w:rtl/>
        </w:rPr>
        <w:t xml:space="preserve">תמוסה לפי </w:t>
      </w:r>
      <w:r w:rsidR="008D76B3" w:rsidRPr="001A0660">
        <w:rPr>
          <w:rFonts w:hint="cs"/>
          <w:rtl/>
        </w:rPr>
        <w:t>ה</w:t>
      </w:r>
      <w:r w:rsidR="00FF4627" w:rsidRPr="001A0660">
        <w:rPr>
          <w:rFonts w:hint="cs"/>
          <w:rtl/>
        </w:rPr>
        <w:t xml:space="preserve">חלופות שנועדו לטפל ברווח שאינו מחולק כמפורט להלן. </w:t>
      </w:r>
    </w:p>
    <w:p w14:paraId="7149872A" w14:textId="77777777" w:rsidR="00643B88" w:rsidRPr="001A0660" w:rsidRDefault="008D76B3" w:rsidP="00643B88">
      <w:pPr>
        <w:pStyle w:val="Hesber"/>
        <w:ind w:firstLine="0"/>
        <w:rPr>
          <w:b/>
          <w:bCs/>
        </w:rPr>
      </w:pPr>
      <w:r w:rsidRPr="001A0660">
        <w:rPr>
          <w:rFonts w:hint="cs"/>
          <w:b/>
          <w:bCs/>
          <w:rtl/>
        </w:rPr>
        <w:t xml:space="preserve">לפסקה (1)(ג) </w:t>
      </w:r>
    </w:p>
    <w:p w14:paraId="2CD358DC" w14:textId="77777777" w:rsidR="00577A16" w:rsidRPr="001A0660" w:rsidRDefault="00577A16" w:rsidP="001A0660">
      <w:pPr>
        <w:pStyle w:val="Hesber"/>
        <w:rPr>
          <w:rtl/>
        </w:rPr>
      </w:pPr>
      <w:r w:rsidRPr="001A0660">
        <w:rPr>
          <w:rFonts w:hint="cs"/>
          <w:rtl/>
        </w:rPr>
        <w:t xml:space="preserve">לשם יצירת וודאות בדבר אופן ייחוס ההוצאות של חברת המעטים בחישוב ההכנסה החייבת, </w:t>
      </w:r>
      <w:r w:rsidR="008D76B3" w:rsidRPr="001A0660">
        <w:rPr>
          <w:rFonts w:hint="cs"/>
          <w:rtl/>
        </w:rPr>
        <w:t>מוצע להבהיר ש</w:t>
      </w:r>
      <w:r w:rsidR="008D76B3" w:rsidRPr="001A0660">
        <w:rPr>
          <w:rtl/>
        </w:rPr>
        <w:t>לעניין חישוב ההכנסה החייבת</w:t>
      </w:r>
      <w:r w:rsidR="00975121" w:rsidRPr="001A0660">
        <w:rPr>
          <w:rFonts w:hint="cs"/>
          <w:rtl/>
        </w:rPr>
        <w:t xml:space="preserve"> שתיוחס לבעל המניות</w:t>
      </w:r>
      <w:r w:rsidR="008D76B3" w:rsidRPr="001A0660">
        <w:rPr>
          <w:rtl/>
        </w:rPr>
        <w:t>, יחולו הוראות סעיף 18(ג)</w:t>
      </w:r>
      <w:r w:rsidR="00975121" w:rsidRPr="001A0660">
        <w:rPr>
          <w:rFonts w:hint="cs"/>
          <w:rtl/>
        </w:rPr>
        <w:t xml:space="preserve"> לפקודה</w:t>
      </w:r>
      <w:r w:rsidR="008D76B3" w:rsidRPr="001A0660">
        <w:rPr>
          <w:rtl/>
        </w:rPr>
        <w:t>, בשינויים המחויבים</w:t>
      </w:r>
      <w:r w:rsidR="008D76B3" w:rsidRPr="001A0660">
        <w:rPr>
          <w:rFonts w:hint="cs"/>
          <w:rtl/>
        </w:rPr>
        <w:t xml:space="preserve">. סעיף </w:t>
      </w:r>
      <w:r w:rsidR="00975121" w:rsidRPr="001A0660">
        <w:rPr>
          <w:rFonts w:hint="cs"/>
          <w:rtl/>
        </w:rPr>
        <w:t>18(ג) האמור</w:t>
      </w:r>
      <w:r w:rsidR="008D76B3" w:rsidRPr="001A0660">
        <w:rPr>
          <w:rFonts w:hint="cs"/>
          <w:rtl/>
        </w:rPr>
        <w:t xml:space="preserve">, </w:t>
      </w:r>
      <w:r w:rsidR="00AA60DF" w:rsidRPr="001A0660">
        <w:rPr>
          <w:rFonts w:hint="cs"/>
          <w:rtl/>
        </w:rPr>
        <w:t>קובע</w:t>
      </w:r>
      <w:r w:rsidRPr="001A0660">
        <w:rPr>
          <w:rFonts w:hint="cs"/>
          <w:rtl/>
        </w:rPr>
        <w:t xml:space="preserve"> </w:t>
      </w:r>
      <w:r w:rsidR="00AA60DF" w:rsidRPr="001A0660">
        <w:rPr>
          <w:rFonts w:hint="cs"/>
          <w:rtl/>
        </w:rPr>
        <w:t>מנגנון לייחוס הוצאות בין סוגי הכנסה שונים</w:t>
      </w:r>
      <w:r w:rsidR="00975121" w:rsidRPr="001A0660">
        <w:rPr>
          <w:rFonts w:hint="cs"/>
          <w:rtl/>
        </w:rPr>
        <w:t>,</w:t>
      </w:r>
      <w:r w:rsidR="00AA60DF" w:rsidRPr="001A0660">
        <w:rPr>
          <w:rFonts w:hint="cs"/>
          <w:rtl/>
        </w:rPr>
        <w:t xml:space="preserve"> לצורך חישוב </w:t>
      </w:r>
      <w:r w:rsidR="00975121" w:rsidRPr="001A0660">
        <w:rPr>
          <w:rFonts w:hint="cs"/>
          <w:rtl/>
        </w:rPr>
        <w:t xml:space="preserve">חלק </w:t>
      </w:r>
      <w:r w:rsidR="00AA60DF" w:rsidRPr="001A0660">
        <w:rPr>
          <w:rFonts w:hint="cs"/>
          <w:rtl/>
        </w:rPr>
        <w:t>ההכנסה החייבת</w:t>
      </w:r>
      <w:r w:rsidR="00975121" w:rsidRPr="001A0660">
        <w:rPr>
          <w:rFonts w:hint="cs"/>
          <w:rtl/>
        </w:rPr>
        <w:t xml:space="preserve"> מכל אחד מסוגי ההכנסה</w:t>
      </w:r>
      <w:r w:rsidR="00AA60DF" w:rsidRPr="001A0660">
        <w:rPr>
          <w:rFonts w:hint="cs"/>
          <w:rtl/>
        </w:rPr>
        <w:t xml:space="preserve">. באופן ספציפי הסעיף קובע </w:t>
      </w:r>
      <w:r w:rsidR="00AA60DF" w:rsidRPr="001A0660">
        <w:rPr>
          <w:rtl/>
        </w:rPr>
        <w:t>כי הוצאות שהוצאו לצורך השגת הכנסה שלגביה נקבע שיעור מס מיוחד או שהיא פטורה ממס</w:t>
      </w:r>
      <w:r w:rsidR="00975121" w:rsidRPr="001A0660">
        <w:rPr>
          <w:rFonts w:hint="cs"/>
          <w:rtl/>
        </w:rPr>
        <w:t xml:space="preserve"> (הכנסה מועדפת)</w:t>
      </w:r>
      <w:r w:rsidR="00AA60DF" w:rsidRPr="001A0660">
        <w:rPr>
          <w:rtl/>
        </w:rPr>
        <w:t xml:space="preserve">, יותרו לניכוי לפי סעיף 17 רק כנגד הכנסה </w:t>
      </w:r>
      <w:r w:rsidR="00AA60DF" w:rsidRPr="001A0660">
        <w:rPr>
          <w:rFonts w:hint="cs"/>
          <w:rtl/>
        </w:rPr>
        <w:t>זו. וכן, שאם</w:t>
      </w:r>
      <w:r w:rsidR="00AA60DF" w:rsidRPr="001A0660">
        <w:rPr>
          <w:rFonts w:ascii="FrankRuehl" w:hAnsi="FrankRuehl" w:cs="FrankRuehl" w:hint="cs"/>
          <w:snapToGrid/>
          <w:color w:val="000000"/>
          <w:sz w:val="26"/>
          <w:rtl/>
        </w:rPr>
        <w:t xml:space="preserve"> </w:t>
      </w:r>
      <w:r w:rsidR="00AA60DF" w:rsidRPr="001A0660">
        <w:rPr>
          <w:rFonts w:ascii="FrankRuehl" w:hAnsi="FrankRuehl" w:cs="FrankRuehl"/>
          <w:snapToGrid/>
          <w:color w:val="000000"/>
          <w:sz w:val="26"/>
          <w:rtl/>
        </w:rPr>
        <w:t xml:space="preserve"> </w:t>
      </w:r>
      <w:r w:rsidR="00AA60DF" w:rsidRPr="001A0660">
        <w:rPr>
          <w:rtl/>
        </w:rPr>
        <w:t xml:space="preserve">לא ניתן לקבוע את ההוצאות כאמור, ינוכה כנגד </w:t>
      </w:r>
      <w:r w:rsidR="00AA60DF" w:rsidRPr="001A0660">
        <w:rPr>
          <w:rFonts w:hint="cs"/>
          <w:rtl/>
        </w:rPr>
        <w:t xml:space="preserve">אותה </w:t>
      </w:r>
      <w:r w:rsidR="00AA60DF" w:rsidRPr="001A0660">
        <w:rPr>
          <w:rtl/>
        </w:rPr>
        <w:t xml:space="preserve">ההכנסה חלק יחסי מן ההוצאות שבהן עמד </w:t>
      </w:r>
      <w:r w:rsidR="00AA60DF" w:rsidRPr="001A0660">
        <w:rPr>
          <w:rFonts w:hint="cs"/>
          <w:rtl/>
        </w:rPr>
        <w:t xml:space="preserve">הנישום </w:t>
      </w:r>
      <w:r w:rsidR="00AA60DF" w:rsidRPr="001A0660">
        <w:rPr>
          <w:rtl/>
        </w:rPr>
        <w:t>בייצור כלל הכנסתו, כיחס ההכנסה המועדפת לכלל הכנסתו</w:t>
      </w:r>
      <w:r w:rsidR="00AA60DF" w:rsidRPr="001A0660">
        <w:rPr>
          <w:rFonts w:hint="cs"/>
          <w:rtl/>
        </w:rPr>
        <w:t xml:space="preserve">. גם בסעיף 62א </w:t>
      </w:r>
      <w:bookmarkEnd w:id="1"/>
      <w:r w:rsidR="00AA60DF" w:rsidRPr="001A0660">
        <w:rPr>
          <w:rFonts w:hint="cs"/>
          <w:rtl/>
        </w:rPr>
        <w:t xml:space="preserve">יש צורך להפריד בין סוגים שונים של הכנסה לצורך קביעת ההכנסה החייבת מכל אחד מהסוגים </w:t>
      </w:r>
      <w:r w:rsidR="00AA60DF" w:rsidRPr="001A0660">
        <w:rPr>
          <w:rtl/>
        </w:rPr>
        <w:t>–</w:t>
      </w:r>
      <w:r w:rsidR="00AA60DF" w:rsidRPr="001A0660">
        <w:rPr>
          <w:rFonts w:hint="cs"/>
          <w:rtl/>
        </w:rPr>
        <w:t xml:space="preserve"> לעניין פסקאות (א)(1) ו-(2) בין הכנסה הנובעת מפעילות של בעל המניות לבין הכנסה אחרת, ולעניין סעיף קטן (א1)  המוצע, בין הכנסה מפעילות עתירת יגיעה אישית לבין הכנסה אחרת. </w:t>
      </w:r>
    </w:p>
    <w:p w14:paraId="4304BA7A" w14:textId="77777777" w:rsidR="00577A16" w:rsidRPr="001A0660" w:rsidRDefault="00577A16" w:rsidP="00AA60DF">
      <w:pPr>
        <w:pStyle w:val="Hesber1st"/>
        <w:tabs>
          <w:tab w:val="clear" w:pos="680"/>
        </w:tabs>
        <w:rPr>
          <w:b/>
          <w:bCs/>
          <w:rtl/>
        </w:rPr>
      </w:pPr>
      <w:r w:rsidRPr="001A0660">
        <w:rPr>
          <w:rFonts w:hint="cs"/>
          <w:b/>
          <w:bCs/>
          <w:rtl/>
        </w:rPr>
        <w:t>לפסקאות (</w:t>
      </w:r>
      <w:r w:rsidR="00FF353C" w:rsidRPr="001A0660">
        <w:rPr>
          <w:rFonts w:hint="cs"/>
          <w:b/>
          <w:bCs/>
          <w:rtl/>
        </w:rPr>
        <w:t>2</w:t>
      </w:r>
      <w:r w:rsidRPr="001A0660">
        <w:rPr>
          <w:rFonts w:hint="cs"/>
          <w:b/>
          <w:bCs/>
          <w:rtl/>
        </w:rPr>
        <w:t xml:space="preserve">) עד (6) </w:t>
      </w:r>
      <w:r w:rsidRPr="001A0660">
        <w:rPr>
          <w:b/>
          <w:bCs/>
          <w:rtl/>
        </w:rPr>
        <w:t>–</w:t>
      </w:r>
      <w:r w:rsidRPr="001A0660">
        <w:rPr>
          <w:rFonts w:hint="cs"/>
          <w:b/>
          <w:bCs/>
          <w:rtl/>
        </w:rPr>
        <w:t xml:space="preserve"> כללי</w:t>
      </w:r>
    </w:p>
    <w:p w14:paraId="2772A9E5" w14:textId="77777777" w:rsidR="009851A0" w:rsidRPr="001A0660" w:rsidRDefault="00577A16" w:rsidP="009851A0">
      <w:pPr>
        <w:pStyle w:val="Hesber1st"/>
        <w:rPr>
          <w:rtl/>
        </w:rPr>
      </w:pPr>
      <w:r w:rsidRPr="001A0660">
        <w:rPr>
          <w:rFonts w:hint="cs"/>
          <w:rtl/>
        </w:rPr>
        <w:t xml:space="preserve">בפסקאות אלה </w:t>
      </w:r>
      <w:bookmarkStart w:id="33" w:name="_Hlk178629721"/>
      <w:r w:rsidRPr="001A0660">
        <w:rPr>
          <w:rFonts w:hint="cs"/>
          <w:rtl/>
        </w:rPr>
        <w:t>מוצעים תיקונים המבקשים להקשות על יצירת חברות ארנק מסוג חברות החזקה לצורך תכנון מס.</w:t>
      </w:r>
      <w:r w:rsidR="00AA60DF" w:rsidRPr="001A0660">
        <w:rPr>
          <w:rFonts w:hint="cs"/>
          <w:rtl/>
        </w:rPr>
        <w:t xml:space="preserve"> </w:t>
      </w:r>
      <w:r w:rsidRPr="001A0660">
        <w:rPr>
          <w:rFonts w:hint="cs"/>
          <w:rtl/>
        </w:rPr>
        <w:t xml:space="preserve">כיום, הסעיף העיקרי המתייחס באופן מיוחד לבעיות שמתעוררות בשל קיומן של חברות  החזקה </w:t>
      </w:r>
      <w:r w:rsidR="00D64E76" w:rsidRPr="001A0660">
        <w:rPr>
          <w:rFonts w:hint="cs"/>
          <w:rtl/>
        </w:rPr>
        <w:t xml:space="preserve">כפי שפורטו </w:t>
      </w:r>
      <w:r w:rsidRPr="001A0660">
        <w:rPr>
          <w:rFonts w:hint="cs"/>
          <w:rtl/>
        </w:rPr>
        <w:t>לעיל</w:t>
      </w:r>
      <w:r w:rsidR="00D64E76" w:rsidRPr="001A0660">
        <w:rPr>
          <w:rFonts w:hint="cs"/>
          <w:rtl/>
        </w:rPr>
        <w:t xml:space="preserve"> בחלק הכללי של דברי ההסבר</w:t>
      </w:r>
      <w:r w:rsidRPr="001A0660">
        <w:rPr>
          <w:rFonts w:hint="cs"/>
          <w:rtl/>
        </w:rPr>
        <w:t xml:space="preserve">, </w:t>
      </w:r>
      <w:r w:rsidR="009851A0" w:rsidRPr="001A0660">
        <w:rPr>
          <w:rFonts w:hint="cs"/>
          <w:rtl/>
        </w:rPr>
        <w:t>הוא</w:t>
      </w:r>
      <w:r w:rsidRPr="001A0660">
        <w:rPr>
          <w:rFonts w:hint="cs"/>
          <w:rtl/>
        </w:rPr>
        <w:t xml:space="preserve"> </w:t>
      </w:r>
      <w:r w:rsidRPr="001A0660">
        <w:rPr>
          <w:rtl/>
        </w:rPr>
        <w:t xml:space="preserve">סעיף 77 </w:t>
      </w:r>
      <w:r w:rsidR="009851A0" w:rsidRPr="001A0660">
        <w:rPr>
          <w:rFonts w:hint="cs"/>
          <w:rtl/>
        </w:rPr>
        <w:t>לפקודה אשר תוקן באופן נרחב במסגרת תיקון 2017</w:t>
      </w:r>
      <w:r w:rsidRPr="001A0660">
        <w:rPr>
          <w:rtl/>
        </w:rPr>
        <w:t xml:space="preserve">. הסעיף </w:t>
      </w:r>
      <w:r w:rsidR="009851A0" w:rsidRPr="001A0660">
        <w:rPr>
          <w:rFonts w:hint="cs"/>
          <w:rtl/>
        </w:rPr>
        <w:t xml:space="preserve">כנוסחו היום </w:t>
      </w:r>
      <w:r w:rsidRPr="001A0660">
        <w:rPr>
          <w:rtl/>
        </w:rPr>
        <w:t xml:space="preserve">מסמיך את </w:t>
      </w:r>
      <w:r w:rsidR="009851A0" w:rsidRPr="001A0660">
        <w:rPr>
          <w:rFonts w:hint="cs"/>
          <w:rtl/>
        </w:rPr>
        <w:t>ה</w:t>
      </w:r>
      <w:r w:rsidRPr="001A0660">
        <w:rPr>
          <w:rtl/>
        </w:rPr>
        <w:t xml:space="preserve">מנהל, לאחר שהתייעץ עם ועדה ציבורית, להורות </w:t>
      </w:r>
      <w:r w:rsidR="00D64E76" w:rsidRPr="001A0660">
        <w:rPr>
          <w:rFonts w:hint="cs"/>
          <w:rtl/>
        </w:rPr>
        <w:t>שימוסו</w:t>
      </w:r>
      <w:r w:rsidRPr="001A0660">
        <w:rPr>
          <w:rtl/>
        </w:rPr>
        <w:t xml:space="preserve"> </w:t>
      </w:r>
      <w:r w:rsidR="009851A0" w:rsidRPr="001A0660">
        <w:rPr>
          <w:rFonts w:hint="cs"/>
          <w:rtl/>
        </w:rPr>
        <w:t>חלק מה</w:t>
      </w:r>
      <w:r w:rsidRPr="001A0660">
        <w:rPr>
          <w:rtl/>
        </w:rPr>
        <w:t xml:space="preserve">רווחים לא-מחולקים של חברת מעטים </w:t>
      </w:r>
      <w:r w:rsidR="009851A0" w:rsidRPr="001A0660">
        <w:rPr>
          <w:rFonts w:hint="cs"/>
          <w:rtl/>
        </w:rPr>
        <w:t>כאילו הם חולקו, ובלבד ש</w:t>
      </w:r>
      <w:r w:rsidRPr="001A0660">
        <w:rPr>
          <w:rtl/>
        </w:rPr>
        <w:t>אלה לא חולקו לאחר חמש שנים ממועד צבירתם.</w:t>
      </w:r>
      <w:r w:rsidR="009851A0" w:rsidRPr="001A0660">
        <w:rPr>
          <w:rFonts w:hint="cs"/>
          <w:rtl/>
        </w:rPr>
        <w:t xml:space="preserve"> </w:t>
      </w:r>
      <w:r w:rsidRPr="001A0660">
        <w:rPr>
          <w:rtl/>
        </w:rPr>
        <w:t>הסעיף קובע</w:t>
      </w:r>
      <w:r w:rsidR="00D64E76" w:rsidRPr="001A0660">
        <w:rPr>
          <w:rFonts w:hint="cs"/>
          <w:rtl/>
        </w:rPr>
        <w:t>,</w:t>
      </w:r>
      <w:r w:rsidRPr="001A0660">
        <w:rPr>
          <w:rtl/>
        </w:rPr>
        <w:t xml:space="preserve"> בין היתר, כי </w:t>
      </w:r>
      <w:r w:rsidR="009851A0" w:rsidRPr="001A0660">
        <w:rPr>
          <w:rFonts w:hint="cs"/>
          <w:rtl/>
        </w:rPr>
        <w:t>ניתן לתת הוראה כאמור רק אם תוצאת אי החלוקה מביאה</w:t>
      </w:r>
      <w:r w:rsidRPr="001A0660">
        <w:rPr>
          <w:rtl/>
        </w:rPr>
        <w:t xml:space="preserve"> </w:t>
      </w:r>
      <w:r w:rsidR="009851A0" w:rsidRPr="001A0660">
        <w:rPr>
          <w:rFonts w:hint="cs"/>
          <w:rtl/>
        </w:rPr>
        <w:t>ל</w:t>
      </w:r>
      <w:r w:rsidRPr="001A0660">
        <w:rPr>
          <w:rtl/>
        </w:rPr>
        <w:t>הימנעות או הפחתת מס, וכי</w:t>
      </w:r>
      <w:r w:rsidR="009851A0" w:rsidRPr="001A0660">
        <w:rPr>
          <w:rFonts w:hint="cs"/>
          <w:rtl/>
        </w:rPr>
        <w:t xml:space="preserve"> </w:t>
      </w:r>
      <w:r w:rsidR="009851A0" w:rsidRPr="001A0660">
        <w:rPr>
          <w:rtl/>
        </w:rPr>
        <w:t xml:space="preserve">יש </w:t>
      </w:r>
      <w:r w:rsidR="00D64E76" w:rsidRPr="001A0660">
        <w:rPr>
          <w:rtl/>
        </w:rPr>
        <w:t>ביד</w:t>
      </w:r>
      <w:r w:rsidR="00D64E76" w:rsidRPr="001A0660">
        <w:rPr>
          <w:rFonts w:hint="cs"/>
          <w:rtl/>
        </w:rPr>
        <w:t>י חברת המעטים</w:t>
      </w:r>
      <w:r w:rsidR="00D64E76" w:rsidRPr="001A0660">
        <w:rPr>
          <w:rtl/>
        </w:rPr>
        <w:t xml:space="preserve"> </w:t>
      </w:r>
      <w:r w:rsidR="009851A0" w:rsidRPr="001A0660">
        <w:rPr>
          <w:rtl/>
        </w:rPr>
        <w:t>לחלק רווחיה או חלק מהם בלי להזיק לקיומו ולפיתוחו של עסקה</w:t>
      </w:r>
      <w:r w:rsidR="009851A0" w:rsidRPr="001A0660">
        <w:rPr>
          <w:rFonts w:hint="cs"/>
          <w:rtl/>
        </w:rPr>
        <w:t xml:space="preserve">. </w:t>
      </w:r>
    </w:p>
    <w:p w14:paraId="74EC8C48" w14:textId="77777777" w:rsidR="00D64E76" w:rsidRPr="001A0660" w:rsidRDefault="00577A16" w:rsidP="00BB676E">
      <w:pPr>
        <w:pStyle w:val="Hesber"/>
        <w:rPr>
          <w:rtl/>
        </w:rPr>
      </w:pPr>
      <w:r w:rsidRPr="001A0660">
        <w:rPr>
          <w:rtl/>
        </w:rPr>
        <w:t xml:space="preserve">מניסיון שנצבר בהפעלת הסעיף, עולה כי </w:t>
      </w:r>
      <w:r w:rsidR="009851A0" w:rsidRPr="001A0660">
        <w:rPr>
          <w:rFonts w:hint="cs"/>
          <w:rtl/>
        </w:rPr>
        <w:t>ה</w:t>
      </w:r>
      <w:r w:rsidRPr="001A0660">
        <w:rPr>
          <w:rtl/>
        </w:rPr>
        <w:t xml:space="preserve">דרישות </w:t>
      </w:r>
      <w:r w:rsidR="009851A0" w:rsidRPr="001A0660">
        <w:rPr>
          <w:rFonts w:hint="cs"/>
          <w:rtl/>
        </w:rPr>
        <w:t>המצויות בסעיף</w:t>
      </w:r>
      <w:r w:rsidR="00BB676E" w:rsidRPr="001A0660">
        <w:rPr>
          <w:rFonts w:hint="cs"/>
          <w:rtl/>
        </w:rPr>
        <w:t>, ובעיקר הצורך בבחינה פרטנית של מצבה העסקי של כל חברה לצורך הפעלת הסעיף,</w:t>
      </w:r>
      <w:r w:rsidR="009851A0" w:rsidRPr="001A0660">
        <w:rPr>
          <w:rFonts w:hint="cs"/>
          <w:rtl/>
        </w:rPr>
        <w:t xml:space="preserve"> </w:t>
      </w:r>
      <w:r w:rsidRPr="001A0660">
        <w:rPr>
          <w:rtl/>
        </w:rPr>
        <w:t xml:space="preserve">מקשות על יישומו באופן יעיל, גם במקרים מובהקים. על כן, </w:t>
      </w:r>
      <w:r w:rsidR="00BB676E" w:rsidRPr="001A0660">
        <w:rPr>
          <w:rFonts w:hint="cs"/>
          <w:rtl/>
        </w:rPr>
        <w:t>מוצע לקבוע מודל נורמטיבי ש</w:t>
      </w:r>
      <w:r w:rsidR="00BB676E" w:rsidRPr="001A0660">
        <w:rPr>
          <w:rtl/>
        </w:rPr>
        <w:t>י</w:t>
      </w:r>
      <w:r w:rsidR="002E47E7" w:rsidRPr="001A0660">
        <w:rPr>
          <w:rFonts w:hint="cs"/>
          <w:rtl/>
        </w:rPr>
        <w:t xml:space="preserve">תמרץ חלוקה של רווחים שאינם משמשים במישרין את הפעילות של החברה, </w:t>
      </w:r>
      <w:r w:rsidR="00D64E76" w:rsidRPr="001A0660">
        <w:rPr>
          <w:rFonts w:hint="cs"/>
          <w:rtl/>
        </w:rPr>
        <w:t>כך שהחברה תישא ב</w:t>
      </w:r>
      <w:r w:rsidR="00BB676E" w:rsidRPr="001A0660">
        <w:rPr>
          <w:rtl/>
        </w:rPr>
        <w:t xml:space="preserve">עלות </w:t>
      </w:r>
      <w:r w:rsidR="00D64E76" w:rsidRPr="001A0660">
        <w:rPr>
          <w:rFonts w:hint="cs"/>
          <w:rtl/>
        </w:rPr>
        <w:t>נורמטיבית של 2% בשל שיעור מה</w:t>
      </w:r>
      <w:r w:rsidR="00BB676E" w:rsidRPr="001A0660">
        <w:rPr>
          <w:rtl/>
        </w:rPr>
        <w:t>רווחים</w:t>
      </w:r>
      <w:r w:rsidR="00D64E76" w:rsidRPr="001A0660">
        <w:rPr>
          <w:rFonts w:hint="cs"/>
          <w:rtl/>
        </w:rPr>
        <w:t xml:space="preserve"> הלא מחולקים ה</w:t>
      </w:r>
      <w:r w:rsidR="00BB676E" w:rsidRPr="001A0660">
        <w:rPr>
          <w:rtl/>
        </w:rPr>
        <w:t xml:space="preserve">מושקעים בהשקעות פסיביות, מעבר לגובה </w:t>
      </w:r>
      <w:r w:rsidR="002E47E7" w:rsidRPr="001A0660">
        <w:rPr>
          <w:rFonts w:hint="cs"/>
          <w:rtl/>
        </w:rPr>
        <w:t>מגן מס</w:t>
      </w:r>
      <w:r w:rsidR="00BB676E" w:rsidRPr="001A0660">
        <w:rPr>
          <w:rtl/>
        </w:rPr>
        <w:t xml:space="preserve"> ש</w:t>
      </w:r>
      <w:r w:rsidR="002E47E7" w:rsidRPr="001A0660">
        <w:rPr>
          <w:rFonts w:hint="cs"/>
          <w:rtl/>
        </w:rPr>
        <w:t>יינתן לחברות עם פעילות עסקית ריאלית</w:t>
      </w:r>
      <w:r w:rsidR="00BB676E" w:rsidRPr="001A0660">
        <w:rPr>
          <w:rtl/>
        </w:rPr>
        <w:t xml:space="preserve">. </w:t>
      </w:r>
      <w:r w:rsidR="00BE1351" w:rsidRPr="001A0660">
        <w:rPr>
          <w:rFonts w:hint="cs"/>
          <w:rtl/>
        </w:rPr>
        <w:t xml:space="preserve">המנגנון המוצע מייצר איזון בין הצורך למנוע את השימוש בחברות החזקה כחברות ארנק מחד, ומאידך, </w:t>
      </w:r>
      <w:r w:rsidR="00D64E76" w:rsidRPr="001A0660">
        <w:rPr>
          <w:rFonts w:hint="cs"/>
          <w:rtl/>
        </w:rPr>
        <w:t xml:space="preserve">ברצון שלא לפגוע </w:t>
      </w:r>
      <w:r w:rsidR="00BE1351" w:rsidRPr="001A0660">
        <w:rPr>
          <w:rtl/>
        </w:rPr>
        <w:t>בחברות המנהלות פעילויות ריאליות ומבצעות השקעות לצורך הגדלה והתרחבות עסקיהן.</w:t>
      </w:r>
      <w:r w:rsidR="00BE1351" w:rsidRPr="001A0660">
        <w:rPr>
          <w:rFonts w:hint="cs"/>
          <w:rtl/>
        </w:rPr>
        <w:t xml:space="preserve"> </w:t>
      </w:r>
    </w:p>
    <w:p w14:paraId="31CE9B0C" w14:textId="77777777" w:rsidR="00BE1351" w:rsidRPr="001A0660" w:rsidRDefault="00BE1351" w:rsidP="00BB676E">
      <w:pPr>
        <w:pStyle w:val="Hesber"/>
        <w:rPr>
          <w:rtl/>
        </w:rPr>
      </w:pPr>
      <w:r w:rsidRPr="001A0660">
        <w:rPr>
          <w:rFonts w:hint="cs"/>
          <w:rtl/>
        </w:rPr>
        <w:t xml:space="preserve">יצוין, </w:t>
      </w:r>
      <w:r w:rsidR="00D64E76" w:rsidRPr="001A0660">
        <w:rPr>
          <w:rFonts w:hint="cs"/>
          <w:rtl/>
        </w:rPr>
        <w:t xml:space="preserve">שלפי המוצע, </w:t>
      </w:r>
      <w:r w:rsidR="002E47E7" w:rsidRPr="001A0660">
        <w:rPr>
          <w:rFonts w:hint="cs"/>
          <w:rtl/>
        </w:rPr>
        <w:t xml:space="preserve">גם </w:t>
      </w:r>
      <w:r w:rsidR="00D64E76" w:rsidRPr="001A0660">
        <w:rPr>
          <w:rFonts w:hint="cs"/>
          <w:rtl/>
        </w:rPr>
        <w:t>על ה</w:t>
      </w:r>
      <w:r w:rsidR="002E47E7" w:rsidRPr="001A0660">
        <w:rPr>
          <w:rFonts w:hint="cs"/>
          <w:rtl/>
        </w:rPr>
        <w:t>רווחים</w:t>
      </w:r>
      <w:r w:rsidRPr="001A0660">
        <w:rPr>
          <w:rFonts w:hint="cs"/>
          <w:rtl/>
        </w:rPr>
        <w:t xml:space="preserve"> </w:t>
      </w:r>
      <w:r w:rsidR="00D64E76" w:rsidRPr="001A0660">
        <w:rPr>
          <w:rFonts w:hint="cs"/>
          <w:rtl/>
        </w:rPr>
        <w:t xml:space="preserve">שהם </w:t>
      </w:r>
      <w:r w:rsidRPr="001A0660">
        <w:rPr>
          <w:rFonts w:hint="cs"/>
          <w:rtl/>
        </w:rPr>
        <w:t>מעבר למגן המס</w:t>
      </w:r>
      <w:r w:rsidR="002E47E7" w:rsidRPr="001A0660">
        <w:rPr>
          <w:rFonts w:hint="cs"/>
          <w:rtl/>
        </w:rPr>
        <w:t xml:space="preserve"> </w:t>
      </w:r>
      <w:r w:rsidR="00D64E76" w:rsidRPr="001A0660">
        <w:rPr>
          <w:rFonts w:hint="cs"/>
          <w:rtl/>
        </w:rPr>
        <w:t>ו</w:t>
      </w:r>
      <w:r w:rsidRPr="001A0660">
        <w:rPr>
          <w:rFonts w:hint="cs"/>
          <w:rtl/>
        </w:rPr>
        <w:t>שאינם משמשים לפעילות החברה</w:t>
      </w:r>
      <w:r w:rsidR="002E47E7" w:rsidRPr="001A0660">
        <w:rPr>
          <w:rFonts w:hint="cs"/>
          <w:rtl/>
        </w:rPr>
        <w:t>,</w:t>
      </w:r>
      <w:r w:rsidR="00D64E76" w:rsidRPr="001A0660">
        <w:rPr>
          <w:rFonts w:hint="cs"/>
          <w:rtl/>
        </w:rPr>
        <w:t xml:space="preserve"> יחול שיעור מס מאוד נמוך.</w:t>
      </w:r>
      <w:r w:rsidR="002E47E7" w:rsidRPr="001A0660">
        <w:rPr>
          <w:rFonts w:hint="cs"/>
          <w:rtl/>
        </w:rPr>
        <w:t xml:space="preserve"> </w:t>
      </w:r>
      <w:r w:rsidRPr="001A0660">
        <w:rPr>
          <w:rFonts w:hint="cs"/>
          <w:rtl/>
        </w:rPr>
        <w:t>כך</w:t>
      </w:r>
      <w:r w:rsidR="00D64E76" w:rsidRPr="001A0660">
        <w:rPr>
          <w:rFonts w:hint="cs"/>
          <w:rtl/>
        </w:rPr>
        <w:t>,</w:t>
      </w:r>
      <w:r w:rsidRPr="001A0660">
        <w:rPr>
          <w:rFonts w:hint="cs"/>
          <w:rtl/>
        </w:rPr>
        <w:t xml:space="preserve"> </w:t>
      </w:r>
      <w:r w:rsidR="00D64E76" w:rsidRPr="001A0660">
        <w:rPr>
          <w:rFonts w:hint="cs"/>
          <w:rtl/>
        </w:rPr>
        <w:t xml:space="preserve">ובדומה </w:t>
      </w:r>
      <w:r w:rsidR="002E47E7" w:rsidRPr="001A0660">
        <w:rPr>
          <w:rFonts w:hint="cs"/>
          <w:rtl/>
        </w:rPr>
        <w:t>למיסים פיגוביאניים, עלות זו תהיה גבוהה מספיק בכדי להפוך את השימוש בחברות החזקה לצורך תכנון מס ללא כדאי, אך נמוכה מספיק בכדי לאפשר לחברות שיש להן רצון מיוחד שלא לחלק את הרווחים</w:t>
      </w:r>
      <w:r w:rsidRPr="001A0660">
        <w:rPr>
          <w:rFonts w:hint="cs"/>
          <w:rtl/>
        </w:rPr>
        <w:t xml:space="preserve"> לשמור אותם בתוך החברה</w:t>
      </w:r>
      <w:r w:rsidR="002E47E7" w:rsidRPr="001A0660">
        <w:rPr>
          <w:rFonts w:hint="cs"/>
          <w:rtl/>
        </w:rPr>
        <w:t xml:space="preserve">. </w:t>
      </w:r>
    </w:p>
    <w:p w14:paraId="5E1EDC9F" w14:textId="77777777" w:rsidR="00BB676E" w:rsidRPr="001A0660" w:rsidRDefault="00BB676E" w:rsidP="00BB676E">
      <w:pPr>
        <w:pStyle w:val="Hesber"/>
        <w:rPr>
          <w:rtl/>
        </w:rPr>
      </w:pPr>
      <w:r w:rsidRPr="001A0660">
        <w:rPr>
          <w:rFonts w:hint="cs"/>
          <w:rtl/>
        </w:rPr>
        <w:t xml:space="preserve">לצורך יצירת הסדר הוליסטי, מוצע להשאיר את ההסדר הקיים בסעיף 77 אשר יאפשר סנקציה חריפה יותר לטיפול במקרים הקיצוניים </w:t>
      </w:r>
      <w:r w:rsidR="00D64E76" w:rsidRPr="001A0660">
        <w:rPr>
          <w:rFonts w:hint="cs"/>
          <w:rtl/>
        </w:rPr>
        <w:t>ב</w:t>
      </w:r>
      <w:r w:rsidRPr="001A0660">
        <w:rPr>
          <w:rFonts w:hint="cs"/>
          <w:rtl/>
        </w:rPr>
        <w:t xml:space="preserve">יותר, וכן יאפשר טיפול, במקרים של חברות עסקיות אשר לצד הפעילות העסקית הלגיטימית שלהן משמשות גם כמקלט מס לצורך החזקת רווחים והשקעתם בצורה שלא תחול עליהם המודל הנורמטיבי החדש. </w:t>
      </w:r>
      <w:r w:rsidR="00D64E76" w:rsidRPr="001A0660">
        <w:rPr>
          <w:rFonts w:hint="cs"/>
          <w:rtl/>
        </w:rPr>
        <w:t>לצורך כך, מוצעים גם מספר תיקונים לצורך ייעול המנגנון הפרטני שמצוי בסעיף האמור.</w:t>
      </w:r>
      <w:bookmarkEnd w:id="33"/>
    </w:p>
    <w:p w14:paraId="6102A19E" w14:textId="77777777" w:rsidR="00BE1351" w:rsidRPr="001A0660" w:rsidRDefault="00BE1351" w:rsidP="00BE1351">
      <w:pPr>
        <w:pStyle w:val="Hesber"/>
        <w:ind w:firstLine="0"/>
        <w:rPr>
          <w:b/>
          <w:bCs/>
          <w:rtl/>
        </w:rPr>
      </w:pPr>
      <w:r w:rsidRPr="001A0660">
        <w:rPr>
          <w:rFonts w:hint="cs"/>
          <w:b/>
          <w:bCs/>
          <w:rtl/>
        </w:rPr>
        <w:t>לפסק</w:t>
      </w:r>
      <w:r w:rsidR="00FF353C" w:rsidRPr="001A0660">
        <w:rPr>
          <w:rFonts w:hint="cs"/>
          <w:b/>
          <w:bCs/>
          <w:rtl/>
        </w:rPr>
        <w:t>ה (4)</w:t>
      </w:r>
    </w:p>
    <w:p w14:paraId="3CFF0CC8" w14:textId="77777777" w:rsidR="003971DB" w:rsidRPr="001A0660" w:rsidRDefault="0093015C" w:rsidP="00873120">
      <w:pPr>
        <w:pStyle w:val="Hesber"/>
        <w:ind w:firstLine="0"/>
        <w:rPr>
          <w:rtl/>
        </w:rPr>
      </w:pPr>
      <w:r w:rsidRPr="001A0660">
        <w:rPr>
          <w:rFonts w:hint="cs"/>
          <w:rtl/>
        </w:rPr>
        <w:t>מוצע לתקן ולפשט את סעיף 77 לפקודת מס הכנסה, העוסק במיסוי רווחים לא מחולקים לפי הוראת מנהל רשות המסים, באופן שיקל על המנהל לקיים הליך פרטני מול חברות עם יתרת עודפים גבוהה ושיאפשר התמודדות עם רווחים לא מחולקים בחברות במקרים שאין בצבירה של הרווחים כאמור צורך עסקי. ראשית, לאור טענות שעולות בהליכים</w:t>
      </w:r>
      <w:r w:rsidR="00D64E76" w:rsidRPr="001A0660">
        <w:rPr>
          <w:rFonts w:hint="cs"/>
          <w:rtl/>
        </w:rPr>
        <w:t>,</w:t>
      </w:r>
      <w:r w:rsidRPr="001A0660">
        <w:rPr>
          <w:rFonts w:hint="cs"/>
          <w:rtl/>
        </w:rPr>
        <w:t xml:space="preserve"> מוצע להבהיר שאין בסעיף דרישה להוכחת כוונה אקטיבית לתכנון מס, אלא מספיק התקיימות הקריטריונים האובייקטיביים בכדי לאפשר למנהל להורות על מיסוי הרווחים כאמור בסעיף. </w:t>
      </w:r>
    </w:p>
    <w:p w14:paraId="1F9A1B17" w14:textId="77777777" w:rsidR="00577A16" w:rsidRPr="001A0660" w:rsidRDefault="0093015C" w:rsidP="001A0660">
      <w:pPr>
        <w:pStyle w:val="Hesber"/>
        <w:rPr>
          <w:rtl/>
        </w:rPr>
      </w:pPr>
      <w:r w:rsidRPr="001A0660">
        <w:rPr>
          <w:rFonts w:hint="cs"/>
          <w:rtl/>
        </w:rPr>
        <w:t xml:space="preserve">בנוסף, ולצורך השלמת המודל הנורמטיבי </w:t>
      </w:r>
      <w:r w:rsidR="00D64E76" w:rsidRPr="001A0660">
        <w:rPr>
          <w:rFonts w:hint="cs"/>
          <w:rtl/>
        </w:rPr>
        <w:t>שמוצע לקבוע בהצעה זו</w:t>
      </w:r>
      <w:r w:rsidR="00D70711" w:rsidRPr="001A0660">
        <w:rPr>
          <w:rFonts w:hint="cs"/>
          <w:rtl/>
        </w:rPr>
        <w:t>,</w:t>
      </w:r>
      <w:r w:rsidRPr="001A0660">
        <w:rPr>
          <w:rFonts w:hint="cs"/>
          <w:rtl/>
        </w:rPr>
        <w:t xml:space="preserve"> מוצע לקבוע</w:t>
      </w:r>
      <w:r w:rsidR="00D70711" w:rsidRPr="001A0660">
        <w:rPr>
          <w:rFonts w:hint="cs"/>
          <w:rtl/>
        </w:rPr>
        <w:t xml:space="preserve"> הוראה מיוחד</w:t>
      </w:r>
      <w:r w:rsidR="00D64E76" w:rsidRPr="001A0660">
        <w:rPr>
          <w:rFonts w:hint="cs"/>
          <w:rtl/>
        </w:rPr>
        <w:t>ת</w:t>
      </w:r>
      <w:r w:rsidR="00D70711" w:rsidRPr="001A0660">
        <w:rPr>
          <w:rFonts w:hint="cs"/>
          <w:rtl/>
        </w:rPr>
        <w:t xml:space="preserve"> לחברות עסקיות אשר לצד פעילותן העסקית הריאלית משמשות כחברות החזקה. כפי שיפורט להלן, מוצע לתת לחברות עם פעילות ריאלית מגן מס גבוה מאוד בכדי לוודא שהצעד לא "יתפוס" חברות המשתמשות ברווחים שלהן לצרכים עסקיים לגיטימיים. עם זאת, החיסרון בכך שמגן המס המוצע הוא מאוד גבוה, הוא שצפוי שיהיו חברות שיקבלו מגן על רווחים אשר באופן מובהק אינם משמשים את עסקה העיקרי של החברה. </w:t>
      </w:r>
      <w:r w:rsidR="00D64E76" w:rsidRPr="001A0660">
        <w:rPr>
          <w:rFonts w:hint="cs"/>
          <w:rtl/>
        </w:rPr>
        <w:t xml:space="preserve">במקרים של </w:t>
      </w:r>
      <w:r w:rsidR="00047FEE" w:rsidRPr="001A0660">
        <w:rPr>
          <w:rFonts w:hint="cs"/>
          <w:rtl/>
        </w:rPr>
        <w:t>אגירת רווחים בחברות עסקיות לגיטימיות</w:t>
      </w:r>
      <w:r w:rsidR="00D64E76" w:rsidRPr="001A0660">
        <w:rPr>
          <w:rFonts w:hint="cs"/>
          <w:rtl/>
        </w:rPr>
        <w:t xml:space="preserve">, יהיה צורך להמשיך ולהשתמש במנגנון הפרטני </w:t>
      </w:r>
      <w:r w:rsidR="003971DB" w:rsidRPr="001A0660">
        <w:rPr>
          <w:rFonts w:hint="cs"/>
          <w:rtl/>
        </w:rPr>
        <w:t xml:space="preserve">המצוי </w:t>
      </w:r>
      <w:r w:rsidR="00D64E76" w:rsidRPr="001A0660">
        <w:rPr>
          <w:rFonts w:hint="cs"/>
          <w:rtl/>
        </w:rPr>
        <w:t>ב</w:t>
      </w:r>
      <w:r w:rsidR="00047FEE" w:rsidRPr="001A0660">
        <w:rPr>
          <w:rFonts w:hint="cs"/>
          <w:rtl/>
        </w:rPr>
        <w:t xml:space="preserve">סעיף 77, </w:t>
      </w:r>
      <w:r w:rsidR="003971DB" w:rsidRPr="001A0660">
        <w:rPr>
          <w:rFonts w:hint="cs"/>
          <w:rtl/>
        </w:rPr>
        <w:t>ככלי עיקרי למניעת אי חלוקה של רווחים ממניעים מיסויים.</w:t>
      </w:r>
      <w:r w:rsidR="00047FEE" w:rsidRPr="001A0660">
        <w:rPr>
          <w:rFonts w:hint="cs"/>
          <w:rtl/>
        </w:rPr>
        <w:t xml:space="preserve"> עם זאת, יכולה לעלות טענה כאילו השקעת הרווחים בנכסים שאינם חלק מהפעילות הריאלית העיקרית של העסק, הם גם פעילות עסקית, וכי חלוקה של רווחים אלה תפגע ב"עסק" האחר, ולכן אין למסות אותם לפי הוראות הסעיף. מוצע, על כן,</w:t>
      </w:r>
      <w:r w:rsidR="003971DB" w:rsidRPr="001A0660">
        <w:rPr>
          <w:rFonts w:hint="cs"/>
          <w:rtl/>
        </w:rPr>
        <w:t xml:space="preserve"> בהמשך לרציונל העומד בבסיס המודל הנורמטיבי,</w:t>
      </w:r>
      <w:r w:rsidR="00047FEE" w:rsidRPr="001A0660">
        <w:rPr>
          <w:rFonts w:hint="cs"/>
          <w:rtl/>
        </w:rPr>
        <w:t xml:space="preserve"> להבהיר ש"עסק" של השקעות אינו אמור להיות מוגן לפי הוראות הסעיף, ובפרט כאשר מדובר ב</w:t>
      </w:r>
      <w:r w:rsidRPr="001A0660">
        <w:rPr>
          <w:rtl/>
        </w:rPr>
        <w:t xml:space="preserve">עסק </w:t>
      </w:r>
      <w:r w:rsidR="00423B8B" w:rsidRPr="001A0660">
        <w:rPr>
          <w:rFonts w:hint="cs"/>
          <w:rtl/>
        </w:rPr>
        <w:t xml:space="preserve"> </w:t>
      </w:r>
      <w:r w:rsidRPr="001A0660">
        <w:rPr>
          <w:rtl/>
        </w:rPr>
        <w:t>שמופקות ממנו הכנסות</w:t>
      </w:r>
      <w:r w:rsidR="00423B8B" w:rsidRPr="001A0660">
        <w:rPr>
          <w:rFonts w:hint="cs"/>
          <w:rtl/>
        </w:rPr>
        <w:t xml:space="preserve"> מהסוג שמאפיינות תשואה על נכסי השקעה. לצורך כך מוצע להפנות ל</w:t>
      </w:r>
      <w:r w:rsidR="003971DB" w:rsidRPr="001A0660">
        <w:rPr>
          <w:rFonts w:hint="cs"/>
          <w:rtl/>
        </w:rPr>
        <w:t>"הכנסה אחרת" המופיעה ב</w:t>
      </w:r>
      <w:r w:rsidR="00423B8B" w:rsidRPr="001A0660">
        <w:rPr>
          <w:rFonts w:hint="cs"/>
          <w:rtl/>
        </w:rPr>
        <w:t xml:space="preserve">הגדרות </w:t>
      </w:r>
      <w:r w:rsidR="00AF4C2C" w:rsidRPr="001A0660">
        <w:rPr>
          <w:rFonts w:hint="cs"/>
          <w:rtl/>
        </w:rPr>
        <w:t xml:space="preserve">אשר מוצע לקבוע </w:t>
      </w:r>
      <w:r w:rsidR="00423B8B" w:rsidRPr="001A0660">
        <w:rPr>
          <w:rFonts w:hint="cs"/>
          <w:rtl/>
        </w:rPr>
        <w:t xml:space="preserve">בסעיף 62א(א1) החדש </w:t>
      </w:r>
      <w:r w:rsidR="00FF353C" w:rsidRPr="001A0660">
        <w:rPr>
          <w:rFonts w:hint="cs"/>
          <w:rtl/>
        </w:rPr>
        <w:t xml:space="preserve">אשר מפורט לגביהן </w:t>
      </w:r>
      <w:r w:rsidR="00423B8B" w:rsidRPr="001A0660">
        <w:rPr>
          <w:rFonts w:hint="cs"/>
          <w:rtl/>
        </w:rPr>
        <w:t>בדברי ההסבר לסעיף האמור</w:t>
      </w:r>
      <w:r w:rsidR="00577A16" w:rsidRPr="001A0660">
        <w:rPr>
          <w:rtl/>
        </w:rPr>
        <w:t xml:space="preserve">. </w:t>
      </w:r>
    </w:p>
    <w:p w14:paraId="760E114D" w14:textId="77777777" w:rsidR="00322522" w:rsidRPr="001A0660" w:rsidRDefault="00322522" w:rsidP="001A0660">
      <w:pPr>
        <w:pStyle w:val="Hesber"/>
        <w:rPr>
          <w:rtl/>
        </w:rPr>
      </w:pPr>
      <w:r w:rsidRPr="001A0660">
        <w:rPr>
          <w:rFonts w:hint="cs"/>
          <w:rtl/>
        </w:rPr>
        <w:t xml:space="preserve">לבסוף, מוצע לקבוע בפירוש שאם הרווחים הנצברים אינם דרושים באופן סביר לניהול עסק מסוגו של העסק </w:t>
      </w:r>
      <w:r w:rsidRPr="001A0660">
        <w:rPr>
          <w:rFonts w:hint="eastAsia"/>
          <w:rtl/>
        </w:rPr>
        <w:t>המנוהל</w:t>
      </w:r>
      <w:r w:rsidRPr="001A0660">
        <w:rPr>
          <w:rFonts w:hint="cs"/>
          <w:rtl/>
        </w:rPr>
        <w:t xml:space="preserve"> על ידי חברת המעטים, נטל ההוכחה יהיה על הנישום להוכיח שהוא נדרש לצבירת הרווחים באופן מיוחד. לצורך כך, מוצע לקבוע ששר האוצר, באישור ועדת הכספים של הכנסת, יהיה רשאי לקבוע תנאים ונסיבות שבהתקיימותן יראו צבירת רווחים ככאלו שאינם דרושים לעסק באופן סביר. כלל זה הוא דומה לכלל הקיים בחקיקה האמריקאית, שם יש היפוך של נטל הראיה בצבירת רווחים שאיננה סבירה, והתנאים לבחינת סבירות צבירת הרווחים קבועים בתקנות. </w:t>
      </w:r>
    </w:p>
    <w:p w14:paraId="14BAAFE9" w14:textId="77777777" w:rsidR="00FF353C" w:rsidRPr="001A0660" w:rsidRDefault="00FF353C" w:rsidP="00FF353C">
      <w:pPr>
        <w:pStyle w:val="Hesber"/>
        <w:ind w:firstLine="0"/>
        <w:rPr>
          <w:b/>
          <w:bCs/>
          <w:rtl/>
        </w:rPr>
      </w:pPr>
      <w:r w:rsidRPr="001A0660">
        <w:rPr>
          <w:rFonts w:hint="cs"/>
          <w:b/>
          <w:bCs/>
          <w:rtl/>
        </w:rPr>
        <w:t>לפסקה (5)</w:t>
      </w:r>
    </w:p>
    <w:p w14:paraId="58FB37B6" w14:textId="77777777" w:rsidR="000004E6" w:rsidRPr="001A0660" w:rsidRDefault="00CE31CF" w:rsidP="000E21F1">
      <w:pPr>
        <w:pStyle w:val="Hesber"/>
        <w:ind w:firstLine="0"/>
        <w:rPr>
          <w:rtl/>
        </w:rPr>
      </w:pPr>
      <w:r w:rsidRPr="001A0660">
        <w:rPr>
          <w:rFonts w:hint="cs"/>
          <w:rtl/>
        </w:rPr>
        <w:t>מוצע להוסיף</w:t>
      </w:r>
      <w:r w:rsidR="000E21F1" w:rsidRPr="001A0660">
        <w:rPr>
          <w:rFonts w:hint="cs"/>
          <w:rtl/>
        </w:rPr>
        <w:t xml:space="preserve"> סימן חדש</w:t>
      </w:r>
      <w:r w:rsidRPr="001A0660">
        <w:rPr>
          <w:rFonts w:hint="cs"/>
          <w:rtl/>
        </w:rPr>
        <w:t xml:space="preserve"> לפרק חמישי בחלק ד לפקודה</w:t>
      </w:r>
      <w:r w:rsidR="000E21F1" w:rsidRPr="001A0660">
        <w:rPr>
          <w:rFonts w:hint="cs"/>
          <w:rtl/>
        </w:rPr>
        <w:t xml:space="preserve"> ש</w:t>
      </w:r>
      <w:r w:rsidRPr="001A0660">
        <w:rPr>
          <w:rFonts w:hint="cs"/>
          <w:rtl/>
        </w:rPr>
        <w:t>עוסק ב</w:t>
      </w:r>
      <w:r w:rsidRPr="001A0660">
        <w:rPr>
          <w:rtl/>
        </w:rPr>
        <w:t>רווחי חברת מעטים שלא חולקו</w:t>
      </w:r>
      <w:r w:rsidRPr="001A0660">
        <w:rPr>
          <w:rFonts w:hint="cs"/>
          <w:rtl/>
        </w:rPr>
        <w:t>.</w:t>
      </w:r>
      <w:r w:rsidR="000E21F1" w:rsidRPr="001A0660">
        <w:rPr>
          <w:rFonts w:hint="cs"/>
          <w:rtl/>
        </w:rPr>
        <w:t xml:space="preserve"> הסימן החדש יקבע תוספת מס על רווחי חברת מעטים שלא חולקו לפי מודל נורמטיבי אשר יחול בכל שנת מס לפי כמות הרווחים הלא מחולקים של חברת המעטים והשימוש שהחברה עושה ברווחים אלה (להלן- המס החדש). כאמור לעיל, קביעת המס החדש </w:t>
      </w:r>
      <w:r w:rsidRPr="001A0660">
        <w:rPr>
          <w:rtl/>
        </w:rPr>
        <w:t xml:space="preserve">מבקשת להתמודד עם שורש הבעיה </w:t>
      </w:r>
      <w:r w:rsidR="003971DB" w:rsidRPr="001A0660">
        <w:rPr>
          <w:rFonts w:hint="cs"/>
          <w:rtl/>
        </w:rPr>
        <w:t>באמצעות יצירת</w:t>
      </w:r>
      <w:r w:rsidR="003971DB" w:rsidRPr="001A0660">
        <w:rPr>
          <w:rtl/>
        </w:rPr>
        <w:t xml:space="preserve"> </w:t>
      </w:r>
      <w:r w:rsidRPr="001A0660">
        <w:rPr>
          <w:rtl/>
        </w:rPr>
        <w:t>עלות (נמוכה יחסית) לאי-חלוקת הדיבידנד</w:t>
      </w:r>
      <w:r w:rsidR="000E21F1" w:rsidRPr="001A0660">
        <w:rPr>
          <w:rFonts w:hint="cs"/>
          <w:rtl/>
        </w:rPr>
        <w:t xml:space="preserve"> כאשר </w:t>
      </w:r>
      <w:r w:rsidR="003971DB" w:rsidRPr="001A0660">
        <w:rPr>
          <w:rFonts w:hint="cs"/>
          <w:rtl/>
        </w:rPr>
        <w:t xml:space="preserve">לא נעשה </w:t>
      </w:r>
      <w:r w:rsidR="000E21F1" w:rsidRPr="001A0660">
        <w:rPr>
          <w:rFonts w:hint="cs"/>
          <w:rtl/>
        </w:rPr>
        <w:t xml:space="preserve">ברווחים </w:t>
      </w:r>
      <w:r w:rsidR="003971DB" w:rsidRPr="001A0660">
        <w:rPr>
          <w:rFonts w:hint="cs"/>
          <w:rtl/>
        </w:rPr>
        <w:t xml:space="preserve">שימוש </w:t>
      </w:r>
      <w:r w:rsidR="000E21F1" w:rsidRPr="001A0660">
        <w:rPr>
          <w:rFonts w:hint="cs"/>
          <w:rtl/>
        </w:rPr>
        <w:t>בשנת המס לפעילות הריאלית של החברה</w:t>
      </w:r>
      <w:r w:rsidRPr="001A0660">
        <w:rPr>
          <w:rtl/>
        </w:rPr>
        <w:t>.</w:t>
      </w:r>
    </w:p>
    <w:p w14:paraId="3895388E" w14:textId="77777777" w:rsidR="000004E6" w:rsidRPr="001A0660" w:rsidRDefault="000004E6" w:rsidP="001A0660">
      <w:pPr>
        <w:pStyle w:val="Hesber"/>
        <w:rPr>
          <w:rtl/>
        </w:rPr>
      </w:pPr>
      <w:r w:rsidRPr="001A0660">
        <w:rPr>
          <w:rFonts w:hint="cs"/>
          <w:rtl/>
        </w:rPr>
        <w:t xml:space="preserve">לפי העקרונות של מס הכנסה, אמור להיות משולם מס בשיעור השולי הגבוה </w:t>
      </w:r>
      <w:r w:rsidR="002F7673" w:rsidRPr="001A0660">
        <w:rPr>
          <w:rFonts w:hint="cs"/>
          <w:rtl/>
        </w:rPr>
        <w:t xml:space="preserve">במועד הפקת ההכנסה, </w:t>
      </w:r>
      <w:r w:rsidRPr="001A0660">
        <w:rPr>
          <w:rFonts w:hint="cs"/>
          <w:rtl/>
        </w:rPr>
        <w:t xml:space="preserve">כאשר יש </w:t>
      </w:r>
      <w:r w:rsidR="002F7673" w:rsidRPr="001A0660">
        <w:rPr>
          <w:rFonts w:hint="cs"/>
          <w:rtl/>
        </w:rPr>
        <w:t xml:space="preserve">אירוע של </w:t>
      </w:r>
      <w:r w:rsidRPr="001A0660">
        <w:rPr>
          <w:rFonts w:hint="cs"/>
          <w:rtl/>
        </w:rPr>
        <w:t>מימוש</w:t>
      </w:r>
      <w:r w:rsidR="002F7673" w:rsidRPr="001A0660">
        <w:rPr>
          <w:rFonts w:hint="cs"/>
          <w:rtl/>
        </w:rPr>
        <w:t>. עם זאת, כמוסבר לעיל, לפי מודל המיסוי הדו- שלבי, המדינה מוותרת על חלק גדול מהמס במועד הפקת ההכנסה, ומאפשרת לחברה להשקיע את הרווחים אשר היו אמורים להיות משולמים כמס באותו מועד בפעילות ריאלית אשר תתרום למשק. ויתור זה, מבחינה כלכלית, שוות ערך למתן הלוואה ללא ריבית מהמדינה לחברה, של סכום בגובה המס שהמדינה ויתרה עליו. ככל שהחברה איננה משקיע בפעילות כאמור, אין הצדקה לדחיית המס ומתן ההטבה לחברה, ועל כן, נכון שהחברה תשלם למדינה על ערך הזמן של הכסף.</w:t>
      </w:r>
      <w:r w:rsidR="00CE31CF" w:rsidRPr="001A0660">
        <w:rPr>
          <w:rtl/>
        </w:rPr>
        <w:t xml:space="preserve"> </w:t>
      </w:r>
    </w:p>
    <w:p w14:paraId="4FA76797" w14:textId="77777777" w:rsidR="000004E6" w:rsidRPr="001A0660" w:rsidRDefault="000E21F1" w:rsidP="001A0660">
      <w:pPr>
        <w:pStyle w:val="Hesber"/>
      </w:pPr>
      <w:r w:rsidRPr="001A0660">
        <w:rPr>
          <w:rFonts w:hint="cs"/>
          <w:rtl/>
        </w:rPr>
        <w:t>שיעור</w:t>
      </w:r>
      <w:r w:rsidR="000004E6" w:rsidRPr="001A0660">
        <w:rPr>
          <w:rFonts w:hint="cs"/>
          <w:rtl/>
        </w:rPr>
        <w:t xml:space="preserve"> המס המוצע הוא בגובה</w:t>
      </w:r>
      <w:r w:rsidR="00CE31CF" w:rsidRPr="001A0660">
        <w:rPr>
          <w:rtl/>
        </w:rPr>
        <w:t xml:space="preserve"> של </w:t>
      </w:r>
      <w:r w:rsidR="00CE31CF" w:rsidRPr="001A0660">
        <w:rPr>
          <w:rFonts w:hint="cs"/>
          <w:rtl/>
        </w:rPr>
        <w:t>2</w:t>
      </w:r>
      <w:r w:rsidR="00CE31CF" w:rsidRPr="001A0660">
        <w:rPr>
          <w:rtl/>
        </w:rPr>
        <w:t xml:space="preserve">% </w:t>
      </w:r>
      <w:r w:rsidR="000004E6" w:rsidRPr="001A0660">
        <w:rPr>
          <w:rFonts w:hint="cs"/>
          <w:rtl/>
        </w:rPr>
        <w:t xml:space="preserve">ויוטל </w:t>
      </w:r>
      <w:r w:rsidR="00CE31CF" w:rsidRPr="001A0660">
        <w:rPr>
          <w:rtl/>
        </w:rPr>
        <w:t>על כל הרווחים הצבורים של חברות</w:t>
      </w:r>
      <w:r w:rsidR="002F7673" w:rsidRPr="001A0660">
        <w:rPr>
          <w:rFonts w:hint="cs"/>
          <w:rtl/>
        </w:rPr>
        <w:t xml:space="preserve"> שאינם משמשים לפעילות ריאלית </w:t>
      </w:r>
      <w:r w:rsidR="002F7673" w:rsidRPr="001A0660">
        <w:rPr>
          <w:rFonts w:hint="eastAsia"/>
          <w:rtl/>
        </w:rPr>
        <w:t>מהותית</w:t>
      </w:r>
      <w:r w:rsidR="002F7673" w:rsidRPr="001A0660">
        <w:rPr>
          <w:rFonts w:hint="cs"/>
          <w:rtl/>
        </w:rPr>
        <w:t xml:space="preserve"> בשנת המס</w:t>
      </w:r>
      <w:r w:rsidR="003971DB" w:rsidRPr="001A0660">
        <w:rPr>
          <w:rFonts w:hint="cs"/>
          <w:rtl/>
        </w:rPr>
        <w:t>.</w:t>
      </w:r>
      <w:r w:rsidR="002F7673" w:rsidRPr="001A0660">
        <w:rPr>
          <w:rFonts w:hint="cs"/>
          <w:rtl/>
        </w:rPr>
        <w:t xml:space="preserve"> </w:t>
      </w:r>
      <w:r w:rsidR="003971DB" w:rsidRPr="001A0660">
        <w:rPr>
          <w:rFonts w:hint="cs"/>
          <w:rtl/>
        </w:rPr>
        <w:t xml:space="preserve">שימושים אלה אינם מצדיקים </w:t>
      </w:r>
      <w:r w:rsidR="002F7673" w:rsidRPr="001A0660">
        <w:rPr>
          <w:rFonts w:hint="cs"/>
          <w:rtl/>
        </w:rPr>
        <w:t>הלוואה ללא ריבית מטעם המדינה</w:t>
      </w:r>
      <w:r w:rsidR="00CE31CF" w:rsidRPr="001A0660">
        <w:rPr>
          <w:rtl/>
        </w:rPr>
        <w:t xml:space="preserve">. </w:t>
      </w:r>
      <w:r w:rsidR="002F7673" w:rsidRPr="001A0660">
        <w:rPr>
          <w:rFonts w:hint="cs"/>
          <w:rtl/>
        </w:rPr>
        <w:t>השיעור שנקבע</w:t>
      </w:r>
      <w:r w:rsidR="003971DB" w:rsidRPr="001A0660">
        <w:rPr>
          <w:rFonts w:hint="cs"/>
          <w:rtl/>
        </w:rPr>
        <w:t xml:space="preserve"> נועד לתמרץ את החלוקה, אך הוא</w:t>
      </w:r>
      <w:r w:rsidR="002F7673" w:rsidRPr="001A0660">
        <w:rPr>
          <w:rFonts w:hint="cs"/>
          <w:rtl/>
        </w:rPr>
        <w:t xml:space="preserve"> </w:t>
      </w:r>
      <w:r w:rsidR="003971DB" w:rsidRPr="001A0660">
        <w:rPr>
          <w:rFonts w:hint="cs"/>
          <w:rtl/>
        </w:rPr>
        <w:t>נבחר מכיוון ש</w:t>
      </w:r>
      <w:r w:rsidR="002F7673" w:rsidRPr="001A0660">
        <w:rPr>
          <w:rFonts w:hint="cs"/>
          <w:rtl/>
        </w:rPr>
        <w:t>משקף רציונל זה</w:t>
      </w:r>
      <w:r w:rsidR="003971DB" w:rsidRPr="001A0660">
        <w:rPr>
          <w:rFonts w:hint="cs"/>
          <w:rtl/>
        </w:rPr>
        <w:t xml:space="preserve"> בקירוב.</w:t>
      </w:r>
      <w:r w:rsidR="002F7673" w:rsidRPr="001A0660">
        <w:rPr>
          <w:rFonts w:hint="cs"/>
          <w:rtl/>
        </w:rPr>
        <w:t xml:space="preserve"> </w:t>
      </w:r>
      <w:r w:rsidR="002F7673" w:rsidRPr="001A0660">
        <w:rPr>
          <w:rtl/>
        </w:rPr>
        <w:t>שיעור</w:t>
      </w:r>
      <w:r w:rsidR="002F7673" w:rsidRPr="001A0660">
        <w:rPr>
          <w:rFonts w:hint="cs"/>
          <w:rtl/>
        </w:rPr>
        <w:t xml:space="preserve"> </w:t>
      </w:r>
      <w:r w:rsidR="003971DB" w:rsidRPr="001A0660">
        <w:rPr>
          <w:rFonts w:hint="cs"/>
          <w:rtl/>
        </w:rPr>
        <w:t>של 2%</w:t>
      </w:r>
      <w:r w:rsidR="003971DB" w:rsidRPr="001A0660">
        <w:rPr>
          <w:rtl/>
        </w:rPr>
        <w:t xml:space="preserve"> </w:t>
      </w:r>
      <w:r w:rsidR="002F7673" w:rsidRPr="001A0660">
        <w:rPr>
          <w:rFonts w:hint="cs"/>
          <w:rtl/>
        </w:rPr>
        <w:t xml:space="preserve">הינו </w:t>
      </w:r>
      <w:r w:rsidR="002F7673" w:rsidRPr="001A0660">
        <w:rPr>
          <w:rtl/>
        </w:rPr>
        <w:t>גבוה יותר מריבית חסרת הסיכון במשק, אך נמוך יותר מהריבית שמציעים הבנקים לעסקים</w:t>
      </w:r>
      <w:r w:rsidR="002F7673" w:rsidRPr="001A0660">
        <w:rPr>
          <w:rFonts w:hint="cs"/>
          <w:rtl/>
        </w:rPr>
        <w:t xml:space="preserve">. </w:t>
      </w:r>
      <w:r w:rsidR="000004E6" w:rsidRPr="001A0660">
        <w:rPr>
          <w:rFonts w:hint="cs"/>
          <w:rtl/>
        </w:rPr>
        <w:t xml:space="preserve">השיעור האמור צפוי להביא לכך </w:t>
      </w:r>
      <w:r w:rsidR="002F7673" w:rsidRPr="001A0660">
        <w:rPr>
          <w:rFonts w:hint="cs"/>
          <w:rtl/>
        </w:rPr>
        <w:t>ש</w:t>
      </w:r>
      <w:r w:rsidR="00CE31CF" w:rsidRPr="001A0660">
        <w:rPr>
          <w:rtl/>
        </w:rPr>
        <w:t>ככל שלחברה קיימת הזדמנות השקעה ייחודית בעלת שיעור תשואה סביר, היא תשקיע את הרווחים בחברה, אך ככל שההשקעה אינה ייחודית לפעילות החברה, או לחילופין, התשואה הנחזית מהשארת הכסף בחברה אינה גבוהה, אזי כדאי יהיה לה לחלק את הרווחים כדיבידנד.</w:t>
      </w:r>
      <w:r w:rsidR="000004E6" w:rsidRPr="001A0660">
        <w:rPr>
          <w:rFonts w:hint="cs"/>
          <w:rtl/>
        </w:rPr>
        <w:t xml:space="preserve"> כמעט בכל המקרים, התשואה שתפיק החברה בשנת המס מהשקעת הרווחים תהיה גבוהה יותר משיעור המס, ולכן בפועל, המיסוי לא צפוי להקטין את הקרן של רווחי החברה שלא חולקו, אלא רק להקטין את הרווח שהחברה מפיקה מהן. למעשה, המס החדש</w:t>
      </w:r>
      <w:r w:rsidR="000004E6" w:rsidRPr="001A0660">
        <w:rPr>
          <w:rtl/>
        </w:rPr>
        <w:t xml:space="preserve"> משית עלות פשוטה יחסית על הרווחים הצבורים של החברה, </w:t>
      </w:r>
      <w:r w:rsidR="000004E6" w:rsidRPr="001A0660">
        <w:rPr>
          <w:rFonts w:hint="cs"/>
          <w:rtl/>
        </w:rPr>
        <w:t xml:space="preserve">אשר נמוכה </w:t>
      </w:r>
      <w:r w:rsidR="002F7673" w:rsidRPr="001A0660">
        <w:rPr>
          <w:rFonts w:hint="cs"/>
          <w:rtl/>
        </w:rPr>
        <w:t>לרוב מ</w:t>
      </w:r>
      <w:r w:rsidR="000004E6" w:rsidRPr="001A0660">
        <w:rPr>
          <w:rtl/>
        </w:rPr>
        <w:t>עלות מימון אלטרנטיבית העומדת בפני החברה.</w:t>
      </w:r>
      <w:r w:rsidR="000004E6" w:rsidRPr="001A0660">
        <w:rPr>
          <w:rFonts w:hint="cs"/>
          <w:rtl/>
        </w:rPr>
        <w:t xml:space="preserve"> </w:t>
      </w:r>
    </w:p>
    <w:p w14:paraId="643DFB0C" w14:textId="77777777" w:rsidR="007B3CDD" w:rsidRPr="001A0660" w:rsidRDefault="000004E6" w:rsidP="007B3CDD">
      <w:pPr>
        <w:pStyle w:val="Hesber"/>
      </w:pPr>
      <w:r w:rsidRPr="001A0660">
        <w:rPr>
          <w:rFonts w:hint="cs"/>
          <w:rtl/>
        </w:rPr>
        <w:t>בשל השיעור הנמוך של המס החדש, הוא אינו צפוי להביא להשפעה מהותית על ה</w:t>
      </w:r>
      <w:r w:rsidR="00CE31CF" w:rsidRPr="001A0660">
        <w:rPr>
          <w:rtl/>
        </w:rPr>
        <w:t xml:space="preserve">שיקולים של בעלי החברה </w:t>
      </w:r>
      <w:r w:rsidRPr="001A0660">
        <w:rPr>
          <w:rFonts w:hint="cs"/>
          <w:rtl/>
        </w:rPr>
        <w:t>או על</w:t>
      </w:r>
      <w:r w:rsidR="00CE31CF" w:rsidRPr="001A0660">
        <w:rPr>
          <w:rtl/>
        </w:rPr>
        <w:t xml:space="preserve"> החלטותיה</w:t>
      </w:r>
      <w:r w:rsidRPr="001A0660">
        <w:rPr>
          <w:rFonts w:hint="cs"/>
          <w:rtl/>
        </w:rPr>
        <w:t xml:space="preserve"> העסקיות</w:t>
      </w:r>
      <w:r w:rsidR="00CE31CF" w:rsidRPr="001A0660">
        <w:rPr>
          <w:rtl/>
        </w:rPr>
        <w:t>,</w:t>
      </w:r>
      <w:r w:rsidR="002F7673" w:rsidRPr="001A0660">
        <w:rPr>
          <w:rFonts w:hint="cs"/>
          <w:rtl/>
        </w:rPr>
        <w:t xml:space="preserve"> לרבות על החלטות בדבר השארת הכסף בחברה לצורך השקעה עתידית בפעילות הריאלית של החברה.</w:t>
      </w:r>
      <w:r w:rsidR="00CE31CF" w:rsidRPr="001A0660">
        <w:rPr>
          <w:rtl/>
        </w:rPr>
        <w:t xml:space="preserve"> </w:t>
      </w:r>
      <w:r w:rsidRPr="001A0660">
        <w:rPr>
          <w:rFonts w:hint="cs"/>
          <w:rtl/>
        </w:rPr>
        <w:t>עם זאת, שיעור זה מספיק גבוה בכדי להביא לכך ש</w:t>
      </w:r>
      <w:r w:rsidR="002F7673" w:rsidRPr="001A0660">
        <w:rPr>
          <w:rFonts w:hint="cs"/>
          <w:rtl/>
        </w:rPr>
        <w:t xml:space="preserve">הכסף לא יישאר בתוך החברה בשל </w:t>
      </w:r>
      <w:r w:rsidRPr="001A0660">
        <w:rPr>
          <w:rFonts w:hint="cs"/>
          <w:rtl/>
        </w:rPr>
        <w:t xml:space="preserve">שיקולי מס הכנסה </w:t>
      </w:r>
      <w:r w:rsidR="002F7673" w:rsidRPr="001A0660">
        <w:rPr>
          <w:rFonts w:hint="cs"/>
          <w:rtl/>
        </w:rPr>
        <w:t>בלבד</w:t>
      </w:r>
      <w:r w:rsidR="00CE31CF" w:rsidRPr="001A0660">
        <w:rPr>
          <w:rtl/>
        </w:rPr>
        <w:t xml:space="preserve">. </w:t>
      </w:r>
      <w:r w:rsidR="007B3CDD" w:rsidRPr="001A0660">
        <w:rPr>
          <w:rFonts w:hint="cs"/>
          <w:rtl/>
        </w:rPr>
        <w:t>בשל האמור, יתרונה העיקרי של הצעה</w:t>
      </w:r>
      <w:r w:rsidR="007B3CDD" w:rsidRPr="001A0660">
        <w:rPr>
          <w:rtl/>
        </w:rPr>
        <w:t xml:space="preserve"> זו </w:t>
      </w:r>
      <w:r w:rsidR="007B3CDD" w:rsidRPr="001A0660">
        <w:rPr>
          <w:rFonts w:hint="cs"/>
          <w:rtl/>
        </w:rPr>
        <w:t xml:space="preserve">הוא שהיא משפרת את </w:t>
      </w:r>
      <w:r w:rsidR="007B3CDD" w:rsidRPr="001A0660">
        <w:rPr>
          <w:rtl/>
        </w:rPr>
        <w:t>מנגנון המיסוי הדו-שלבי. המס מתמרץ</w:t>
      </w:r>
      <w:r w:rsidR="007B3CDD" w:rsidRPr="001A0660">
        <w:rPr>
          <w:rFonts w:hint="cs"/>
          <w:rtl/>
        </w:rPr>
        <w:t xml:space="preserve"> מחד גיסא</w:t>
      </w:r>
      <w:r w:rsidR="007B3CDD" w:rsidRPr="001A0660">
        <w:rPr>
          <w:rtl/>
        </w:rPr>
        <w:t xml:space="preserve"> חלוקת דיבידנד אם לא קיימות הזדמנויות עסקיות ראויות, אך מאידך </w:t>
      </w:r>
      <w:r w:rsidR="007B3CDD" w:rsidRPr="001A0660">
        <w:rPr>
          <w:rFonts w:hint="cs"/>
          <w:rtl/>
        </w:rPr>
        <w:t xml:space="preserve">גיסא </w:t>
      </w:r>
      <w:r w:rsidR="007B3CDD" w:rsidRPr="001A0660">
        <w:rPr>
          <w:rtl/>
        </w:rPr>
        <w:t>מאפשר לחברות לשמור על רווחיהן בעלות סבירה לצורך פיתוח עסקי. בנוסף, מנגנון הגבייה פשוט ומידתי</w:t>
      </w:r>
      <w:r w:rsidR="007B3CDD" w:rsidRPr="001A0660">
        <w:rPr>
          <w:rFonts w:hint="cs"/>
          <w:rtl/>
        </w:rPr>
        <w:t xml:space="preserve">, והוא </w:t>
      </w:r>
      <w:r w:rsidR="007B3CDD" w:rsidRPr="001A0660">
        <w:rPr>
          <w:rtl/>
        </w:rPr>
        <w:t xml:space="preserve">מצמצם יחסית את היקף תכנוני המס המתאפשרים כדי להתחמק ממס. להצעה זו יש </w:t>
      </w:r>
      <w:r w:rsidR="007B3CDD" w:rsidRPr="001A0660">
        <w:rPr>
          <w:rFonts w:hint="cs"/>
          <w:rtl/>
        </w:rPr>
        <w:t xml:space="preserve">אפוא </w:t>
      </w:r>
      <w:r w:rsidR="007B3CDD" w:rsidRPr="001A0660">
        <w:rPr>
          <w:rtl/>
        </w:rPr>
        <w:t>פוטנציאל לשפר את הקצאת המקורות במשק ו</w:t>
      </w:r>
      <w:r w:rsidR="007B3CDD" w:rsidRPr="001A0660">
        <w:rPr>
          <w:rFonts w:hint="cs"/>
          <w:rtl/>
        </w:rPr>
        <w:t>לה</w:t>
      </w:r>
      <w:r w:rsidR="007B3CDD" w:rsidRPr="001A0660">
        <w:rPr>
          <w:rtl/>
        </w:rPr>
        <w:t>גדיל את היעילות המשקית</w:t>
      </w:r>
      <w:r w:rsidR="00A90164" w:rsidRPr="001A0660">
        <w:rPr>
          <w:rFonts w:hint="cs"/>
          <w:rtl/>
        </w:rPr>
        <w:t>, וזאת מלבד יכולתה להביא להגדלת הכנסות המדינה ממסים</w:t>
      </w:r>
      <w:r w:rsidR="007B3CDD" w:rsidRPr="001A0660">
        <w:rPr>
          <w:rtl/>
        </w:rPr>
        <w:t>.</w:t>
      </w:r>
      <w:r w:rsidR="007B3CDD" w:rsidRPr="001A0660">
        <w:t xml:space="preserve"> </w:t>
      </w:r>
    </w:p>
    <w:p w14:paraId="38D4EA7B" w14:textId="77777777" w:rsidR="00CE31CF" w:rsidRPr="001A0660" w:rsidRDefault="00CE31CF" w:rsidP="00CE31CF">
      <w:pPr>
        <w:pStyle w:val="Hesber"/>
      </w:pPr>
      <w:r w:rsidRPr="001A0660">
        <w:rPr>
          <w:rFonts w:hint="cs"/>
          <w:rtl/>
        </w:rPr>
        <w:t>בהתאם למודל זה</w:t>
      </w:r>
      <w:r w:rsidRPr="001A0660">
        <w:rPr>
          <w:rtl/>
        </w:rPr>
        <w:t>, חברה ריאלית שהיקף הרווחים הצבורים שלה אינו משמעותי יחסית להיקף ההוצאות השנתי שלה, לא ת</w:t>
      </w:r>
      <w:r w:rsidRPr="001A0660">
        <w:rPr>
          <w:rFonts w:hint="cs"/>
          <w:rtl/>
        </w:rPr>
        <w:t>י</w:t>
      </w:r>
      <w:r w:rsidRPr="001A0660">
        <w:rPr>
          <w:rtl/>
        </w:rPr>
        <w:t xml:space="preserve">דרש לשלם את המס החדש. לעומת זאת, חברת החזקה (שעיקר הכנסתה מדיבידנדים פטורים מחברות בנות) המאופיינת בהיקף הוצאות נמוך וללא הכנסה חייבת משמעותית, תהיה </w:t>
      </w:r>
      <w:r w:rsidRPr="001A0660">
        <w:rPr>
          <w:rFonts w:hint="cs"/>
          <w:rtl/>
        </w:rPr>
        <w:t xml:space="preserve">חייבת על מרבית </w:t>
      </w:r>
      <w:r w:rsidRPr="001A0660">
        <w:rPr>
          <w:rtl/>
        </w:rPr>
        <w:t>רווחיה הצבורים במס החדש. ככל והחברות החייבות במס החדש תבחרנה לחלק יותר מרווחיהן</w:t>
      </w:r>
      <w:r w:rsidR="00A90164" w:rsidRPr="001A0660">
        <w:rPr>
          <w:rFonts w:hint="cs"/>
          <w:rtl/>
        </w:rPr>
        <w:t xml:space="preserve"> או להשקיע את הרווחים בפעילות ריאלית</w:t>
      </w:r>
      <w:r w:rsidRPr="001A0660">
        <w:rPr>
          <w:rtl/>
        </w:rPr>
        <w:t xml:space="preserve">, תפחת חבות המס (החדש) שלהן בהתאם. </w:t>
      </w:r>
    </w:p>
    <w:p w14:paraId="5B343278" w14:textId="77777777" w:rsidR="00A90164" w:rsidRPr="001A0660" w:rsidRDefault="00A90164" w:rsidP="00A90164">
      <w:pPr>
        <w:pStyle w:val="Hesber"/>
        <w:ind w:firstLine="0"/>
        <w:rPr>
          <w:b/>
          <w:bCs/>
        </w:rPr>
      </w:pPr>
      <w:r w:rsidRPr="001A0660">
        <w:rPr>
          <w:rFonts w:hint="cs"/>
          <w:b/>
          <w:bCs/>
          <w:rtl/>
        </w:rPr>
        <w:t>לסעיף 81א המוצע</w:t>
      </w:r>
    </w:p>
    <w:p w14:paraId="7C8111DD" w14:textId="77777777" w:rsidR="00CE31CF" w:rsidRPr="001A0660" w:rsidRDefault="008B7885" w:rsidP="00873120">
      <w:pPr>
        <w:pStyle w:val="Hesber"/>
        <w:ind w:firstLine="0"/>
        <w:rPr>
          <w:b/>
        </w:rPr>
      </w:pPr>
      <w:r w:rsidRPr="001A0660">
        <w:rPr>
          <w:rFonts w:hint="cs"/>
          <w:b/>
          <w:rtl/>
        </w:rPr>
        <w:t xml:space="preserve">להגדרה "רווחים נצברים" ו-"רווחים נצברים חייבים" </w:t>
      </w:r>
      <w:r w:rsidRPr="001A0660">
        <w:rPr>
          <w:b/>
          <w:rtl/>
        </w:rPr>
        <w:t>–</w:t>
      </w:r>
      <w:r w:rsidRPr="001A0660">
        <w:rPr>
          <w:rFonts w:hint="cs"/>
          <w:b/>
          <w:rtl/>
        </w:rPr>
        <w:t xml:space="preserve"> סעיף 81ג המוצע קובע את בסיס המס שעליו יחול המס החדש </w:t>
      </w:r>
      <w:r w:rsidRPr="001A0660">
        <w:rPr>
          <w:b/>
          <w:rtl/>
        </w:rPr>
        <w:t>–</w:t>
      </w:r>
      <w:r w:rsidRPr="001A0660">
        <w:rPr>
          <w:rFonts w:hint="cs"/>
          <w:b/>
          <w:rtl/>
        </w:rPr>
        <w:t xml:space="preserve"> הרווחים העודפים של חברת המעטים. לצורך קביעת הרווחים העודפים, יש ראשית להגדיר את הרווחים של חברת המעטים באופן כללי שיהוו את הבסיס לחישוב הרווחים העודפים. מוצע, בדומה לקבוע בסעיף 77 הקיים, שסכום הרווחים של חברת המעטים יהיה</w:t>
      </w:r>
      <w:r w:rsidRPr="001A0660">
        <w:rPr>
          <w:b/>
        </w:rPr>
        <w:t> </w:t>
      </w:r>
      <w:r w:rsidRPr="001A0660">
        <w:rPr>
          <w:b/>
          <w:rtl/>
        </w:rPr>
        <w:t xml:space="preserve">כלל </w:t>
      </w:r>
      <w:r w:rsidRPr="001A0660">
        <w:rPr>
          <w:rFonts w:hint="cs"/>
          <w:b/>
          <w:rtl/>
        </w:rPr>
        <w:t>רווחי</w:t>
      </w:r>
      <w:r w:rsidRPr="001A0660">
        <w:rPr>
          <w:b/>
          <w:rtl/>
        </w:rPr>
        <w:t xml:space="preserve"> החברה</w:t>
      </w:r>
      <w:r w:rsidRPr="001A0660">
        <w:rPr>
          <w:rFonts w:hint="cs"/>
          <w:b/>
          <w:rtl/>
        </w:rPr>
        <w:t xml:space="preserve"> </w:t>
      </w:r>
      <w:r w:rsidR="003971DB" w:rsidRPr="001A0660">
        <w:rPr>
          <w:rFonts w:hint="cs"/>
          <w:b/>
          <w:rtl/>
        </w:rPr>
        <w:t xml:space="preserve">כפי שחושבו </w:t>
      </w:r>
      <w:r w:rsidRPr="001A0660">
        <w:rPr>
          <w:rFonts w:hint="cs"/>
          <w:b/>
          <w:rtl/>
        </w:rPr>
        <w:t>לפי דיני המס</w:t>
      </w:r>
      <w:r w:rsidRPr="001A0660">
        <w:rPr>
          <w:b/>
          <w:rtl/>
        </w:rPr>
        <w:t xml:space="preserve">, אשר נצברו מיום התאגדותה ועד תום </w:t>
      </w:r>
      <w:r w:rsidRPr="001A0660">
        <w:rPr>
          <w:rFonts w:hint="cs"/>
          <w:b/>
          <w:rtl/>
        </w:rPr>
        <w:t>ה</w:t>
      </w:r>
      <w:r w:rsidRPr="001A0660">
        <w:rPr>
          <w:b/>
          <w:rtl/>
        </w:rPr>
        <w:t>שנ</w:t>
      </w:r>
      <w:r w:rsidRPr="001A0660">
        <w:rPr>
          <w:rFonts w:hint="cs"/>
          <w:b/>
          <w:rtl/>
        </w:rPr>
        <w:t>ה</w:t>
      </w:r>
      <w:r w:rsidRPr="001A0660">
        <w:rPr>
          <w:b/>
          <w:rtl/>
        </w:rPr>
        <w:t xml:space="preserve"> </w:t>
      </w:r>
      <w:r w:rsidRPr="001A0660">
        <w:rPr>
          <w:rFonts w:hint="cs"/>
          <w:b/>
          <w:rtl/>
        </w:rPr>
        <w:t>הנבחנת</w:t>
      </w:r>
      <w:r w:rsidRPr="001A0660">
        <w:rPr>
          <w:b/>
          <w:rtl/>
        </w:rPr>
        <w:t>, בניכוי המס החל עליה ובניכוי דיבידנד שהיא חילקה עד תום שנת המס</w:t>
      </w:r>
      <w:r w:rsidRPr="001A0660">
        <w:rPr>
          <w:rFonts w:hint="cs"/>
          <w:b/>
          <w:rtl/>
        </w:rPr>
        <w:t>. עם זאת, מכיוון שהסעיף נועד</w:t>
      </w:r>
      <w:r w:rsidRPr="001A0660">
        <w:rPr>
          <w:b/>
          <w:rtl/>
        </w:rPr>
        <w:t xml:space="preserve"> </w:t>
      </w:r>
      <w:r w:rsidRPr="001A0660">
        <w:rPr>
          <w:rFonts w:hint="cs"/>
          <w:b/>
          <w:rtl/>
        </w:rPr>
        <w:t>ל</w:t>
      </w:r>
      <w:r w:rsidR="00365F7F" w:rsidRPr="001A0660">
        <w:rPr>
          <w:rFonts w:hint="cs"/>
          <w:b/>
          <w:rtl/>
        </w:rPr>
        <w:t>חול רק על</w:t>
      </w:r>
      <w:r w:rsidRPr="001A0660">
        <w:rPr>
          <w:rFonts w:hint="cs"/>
          <w:b/>
          <w:rtl/>
        </w:rPr>
        <w:t xml:space="preserve"> רווחים</w:t>
      </w:r>
      <w:r w:rsidR="00365F7F" w:rsidRPr="001A0660">
        <w:rPr>
          <w:rFonts w:hint="cs"/>
          <w:b/>
          <w:rtl/>
        </w:rPr>
        <w:t xml:space="preserve"> אשר ניתן לחלקם</w:t>
      </w:r>
      <w:r w:rsidRPr="001A0660">
        <w:rPr>
          <w:rFonts w:hint="cs"/>
          <w:b/>
          <w:rtl/>
        </w:rPr>
        <w:t xml:space="preserve">, מוצע לקבוע </w:t>
      </w:r>
      <w:r w:rsidRPr="001A0660">
        <w:rPr>
          <w:b/>
          <w:rtl/>
        </w:rPr>
        <w:t>שסכום הרווחים לא יעלה על סכום הרווחים</w:t>
      </w:r>
      <w:r w:rsidR="00365F7F" w:rsidRPr="001A0660">
        <w:rPr>
          <w:rFonts w:hint="cs"/>
          <w:b/>
          <w:rtl/>
        </w:rPr>
        <w:t xml:space="preserve"> החשבונאיים שניתן לחלקם.</w:t>
      </w:r>
    </w:p>
    <w:p w14:paraId="7E97372E" w14:textId="77777777" w:rsidR="00365F7F" w:rsidRPr="001A0660" w:rsidRDefault="00FF353C" w:rsidP="00FF353C">
      <w:pPr>
        <w:pStyle w:val="Hesber"/>
        <w:rPr>
          <w:rtl/>
        </w:rPr>
      </w:pPr>
      <w:r w:rsidRPr="001A0660">
        <w:rPr>
          <w:rFonts w:hint="cs"/>
          <w:rtl/>
        </w:rPr>
        <w:t>בנוסף, וכדי שלא לפגוע בפעילות התעשייתית ברת התחרות בישראל, מוצע שלא להכליל בבסיס המס את הרווחים הלא מחולקים שמקורם בהכנסה של מפעל תעשייתי שחלו עליה הטבות לפי חוק עידוד השקעות הון. כמו כן, מוצע שבבסיס המס לא ייכללו רווחים שמקורם בפעילות של מוסד כספי שרציונל הסעיף לא חל לגביהן</w:t>
      </w:r>
      <w:r w:rsidR="00365F7F" w:rsidRPr="001A0660">
        <w:rPr>
          <w:rFonts w:hint="cs"/>
          <w:rtl/>
        </w:rPr>
        <w:t xml:space="preserve"> ושמגן המס שנקבע לא רלוונטי לגבי סוג פעילותן</w:t>
      </w:r>
      <w:r w:rsidRPr="001A0660">
        <w:rPr>
          <w:rFonts w:hint="cs"/>
          <w:rtl/>
        </w:rPr>
        <w:t>.</w:t>
      </w:r>
    </w:p>
    <w:p w14:paraId="0A2CCF22" w14:textId="77777777" w:rsidR="00365F7F" w:rsidRPr="001A0660" w:rsidRDefault="00365F7F" w:rsidP="00FF353C">
      <w:pPr>
        <w:pStyle w:val="Hesber"/>
        <w:rPr>
          <w:rtl/>
        </w:rPr>
      </w:pPr>
      <w:r w:rsidRPr="001A0660">
        <w:rPr>
          <w:rFonts w:hint="cs"/>
          <w:rtl/>
        </w:rPr>
        <w:t xml:space="preserve">לבסוף, מכיוון שאין תועלת בתכנון מס באמצעות חברות החזקה לגבי רווחים שיוחסו כבר ליחיד ומוסו בהתאם, מוצע להבהיר שהסעיף לא יחול לגבי סכומי רווחים נצברים שיוחסו להכנסתו החייבת של בעל מניות. ייחוס כאמור יחול להתרחש לדוגמה, כאשר החברה היא חברה שקופה (כמו חברת בית או חברה משפחתית) או כאשר חלק מההכנסות יוחסו לבעל מניות מהותי לפי הוראות סעיף 62א. </w:t>
      </w:r>
    </w:p>
    <w:p w14:paraId="741302B9" w14:textId="77777777" w:rsidR="00FF353C" w:rsidRPr="001A0660" w:rsidRDefault="00365F7F" w:rsidP="00365F7F">
      <w:pPr>
        <w:pStyle w:val="Hesber"/>
        <w:ind w:firstLine="0"/>
        <w:rPr>
          <w:rtl/>
        </w:rPr>
      </w:pPr>
      <w:r w:rsidRPr="001A0660">
        <w:rPr>
          <w:rFonts w:hint="cs"/>
          <w:b/>
          <w:bCs/>
          <w:rtl/>
        </w:rPr>
        <w:t>לסעיף 81ב המוצע</w:t>
      </w:r>
      <w:r w:rsidRPr="001A0660">
        <w:rPr>
          <w:rFonts w:hint="cs"/>
          <w:rtl/>
        </w:rPr>
        <w:t xml:space="preserve"> </w:t>
      </w:r>
      <w:r w:rsidR="00FF353C" w:rsidRPr="001A0660">
        <w:rPr>
          <w:rFonts w:hint="cs"/>
          <w:rtl/>
        </w:rPr>
        <w:t xml:space="preserve"> </w:t>
      </w:r>
    </w:p>
    <w:p w14:paraId="185C55F7" w14:textId="77777777" w:rsidR="00365F7F" w:rsidRPr="001A0660" w:rsidRDefault="00365F7F" w:rsidP="00365F7F">
      <w:pPr>
        <w:pStyle w:val="Hesber"/>
        <w:ind w:firstLine="0"/>
        <w:rPr>
          <w:rtl/>
        </w:rPr>
      </w:pPr>
      <w:r w:rsidRPr="001A0660">
        <w:rPr>
          <w:rFonts w:hint="cs"/>
          <w:rtl/>
        </w:rPr>
        <w:t>סעיף זה</w:t>
      </w:r>
      <w:r w:rsidR="002B67F9" w:rsidRPr="001A0660">
        <w:rPr>
          <w:rFonts w:hint="cs"/>
          <w:rtl/>
        </w:rPr>
        <w:t xml:space="preserve"> הוא הסעיף האופרטיבי והוא</w:t>
      </w:r>
      <w:r w:rsidRPr="001A0660">
        <w:rPr>
          <w:rFonts w:hint="cs"/>
          <w:rtl/>
        </w:rPr>
        <w:t xml:space="preserve"> קובע את חובת תשלום המס החדש. לפי המוצע, המס ישולם </w:t>
      </w:r>
      <w:r w:rsidRPr="001A0660">
        <w:rPr>
          <w:rtl/>
        </w:rPr>
        <w:t>לכל שנת מס</w:t>
      </w:r>
      <w:r w:rsidR="002B67F9" w:rsidRPr="001A0660">
        <w:rPr>
          <w:rFonts w:hint="cs"/>
          <w:rtl/>
        </w:rPr>
        <w:t>.</w:t>
      </w:r>
      <w:r w:rsidRPr="001A0660">
        <w:rPr>
          <w:rFonts w:hint="cs"/>
          <w:rtl/>
        </w:rPr>
        <w:t xml:space="preserve"> מועד אירוע המס הוא בסוף </w:t>
      </w:r>
      <w:r w:rsidR="002B67F9" w:rsidRPr="001A0660">
        <w:rPr>
          <w:rFonts w:hint="cs"/>
          <w:rtl/>
        </w:rPr>
        <w:t>שנת המס</w:t>
      </w:r>
      <w:r w:rsidRPr="001A0660">
        <w:rPr>
          <w:rFonts w:hint="cs"/>
          <w:rtl/>
        </w:rPr>
        <w:t xml:space="preserve">, </w:t>
      </w:r>
      <w:r w:rsidR="002B67F9" w:rsidRPr="001A0660">
        <w:rPr>
          <w:rFonts w:hint="cs"/>
          <w:rtl/>
        </w:rPr>
        <w:t>ו</w:t>
      </w:r>
      <w:r w:rsidRPr="001A0660">
        <w:rPr>
          <w:rtl/>
        </w:rPr>
        <w:t xml:space="preserve">חברת </w:t>
      </w:r>
      <w:r w:rsidR="002B67F9" w:rsidRPr="001A0660">
        <w:rPr>
          <w:rFonts w:hint="cs"/>
          <w:rtl/>
        </w:rPr>
        <w:t>ה</w:t>
      </w:r>
      <w:r w:rsidRPr="001A0660">
        <w:rPr>
          <w:rtl/>
        </w:rPr>
        <w:t>מעטים תהיה חייבת בתשלום תוספת למס בשיעור של 2% מסכ</w:t>
      </w:r>
      <w:r w:rsidRPr="001A0660">
        <w:rPr>
          <w:rFonts w:hint="cs"/>
          <w:rtl/>
        </w:rPr>
        <w:t>ום ה</w:t>
      </w:r>
      <w:r w:rsidRPr="001A0660">
        <w:rPr>
          <w:rtl/>
        </w:rPr>
        <w:t>רווחים העודפים של</w:t>
      </w:r>
      <w:r w:rsidR="002B67F9" w:rsidRPr="001A0660">
        <w:rPr>
          <w:rFonts w:hint="cs"/>
          <w:rtl/>
        </w:rPr>
        <w:t>ה כפי שחושבו לפי סעיף 81ב</w:t>
      </w:r>
      <w:r w:rsidRPr="001A0660">
        <w:rPr>
          <w:rFonts w:hint="cs"/>
          <w:rtl/>
        </w:rPr>
        <w:t xml:space="preserve">. כפי שיוסבר בהמשך, </w:t>
      </w:r>
      <w:r w:rsidR="00FC0658" w:rsidRPr="001A0660">
        <w:rPr>
          <w:rFonts w:hint="cs"/>
          <w:rtl/>
        </w:rPr>
        <w:t xml:space="preserve">על אף שמועד אירוע המס יהיה בתום שנת מסוימת, </w:t>
      </w:r>
      <w:r w:rsidRPr="001A0660">
        <w:rPr>
          <w:rFonts w:hint="cs"/>
          <w:rtl/>
        </w:rPr>
        <w:t xml:space="preserve">סכום הרווחים הנצברים שעליהם ישולם המס בסוף </w:t>
      </w:r>
      <w:r w:rsidR="00FC0658" w:rsidRPr="001A0660">
        <w:rPr>
          <w:rFonts w:hint="cs"/>
          <w:rtl/>
        </w:rPr>
        <w:t>אותה שנה</w:t>
      </w:r>
      <w:r w:rsidRPr="001A0660">
        <w:rPr>
          <w:rFonts w:hint="cs"/>
          <w:rtl/>
        </w:rPr>
        <w:t xml:space="preserve">, </w:t>
      </w:r>
      <w:r w:rsidR="00FC0658" w:rsidRPr="001A0660">
        <w:rPr>
          <w:rFonts w:hint="cs"/>
          <w:rtl/>
        </w:rPr>
        <w:t>יחושב</w:t>
      </w:r>
      <w:r w:rsidRPr="001A0660">
        <w:rPr>
          <w:rFonts w:hint="cs"/>
          <w:rtl/>
        </w:rPr>
        <w:t xml:space="preserve"> לפי גובה הרווחים בסוף שנת המס הקודמת, כאשר </w:t>
      </w:r>
      <w:r w:rsidR="00FC0658" w:rsidRPr="001A0660">
        <w:rPr>
          <w:rFonts w:hint="cs"/>
          <w:rtl/>
        </w:rPr>
        <w:t xml:space="preserve">מרווחים אלה </w:t>
      </w:r>
      <w:r w:rsidRPr="001A0660">
        <w:rPr>
          <w:rFonts w:hint="cs"/>
          <w:rtl/>
        </w:rPr>
        <w:t xml:space="preserve">יופחת סכום הרווחים אשר </w:t>
      </w:r>
      <w:r w:rsidR="00FC0658" w:rsidRPr="001A0660">
        <w:rPr>
          <w:rFonts w:hint="cs"/>
          <w:rtl/>
        </w:rPr>
        <w:t>החברה השתמשה בהן במהלך שנת המס באופן המצדיק את דחיית המס. בנוסף, ולאור התכלית של עידוד חלוקה, מוצע לקבוע, שאם החברה חילקה דיבידנד במהלך שנת המס גם סכום זה ינוכה מסכום הרווחים שעליהם יוטל המס.</w:t>
      </w:r>
    </w:p>
    <w:p w14:paraId="295AA7CB" w14:textId="77777777" w:rsidR="008B0C92" w:rsidRPr="001A0660" w:rsidRDefault="008B0C92" w:rsidP="008B0C92">
      <w:pPr>
        <w:pStyle w:val="Hesber"/>
        <w:rPr>
          <w:rtl/>
        </w:rPr>
      </w:pPr>
      <w:r w:rsidRPr="001A0660">
        <w:rPr>
          <w:rFonts w:hint="cs"/>
          <w:rtl/>
        </w:rPr>
        <w:t xml:space="preserve">בסעיף קטן (ב) המוצע, מוצע לתת הקלה לחברה שהיו לה הפסדים גבוהים בשנת המס, שכן יש טעם כלכלי לחברות כאמור שלא לחלק </w:t>
      </w:r>
      <w:r w:rsidR="002B67F9" w:rsidRPr="001A0660">
        <w:rPr>
          <w:rFonts w:hint="cs"/>
          <w:rtl/>
        </w:rPr>
        <w:t>את הרווחים ה</w:t>
      </w:r>
      <w:r w:rsidRPr="001A0660">
        <w:rPr>
          <w:rFonts w:hint="cs"/>
          <w:rtl/>
        </w:rPr>
        <w:t xml:space="preserve">עודפים </w:t>
      </w:r>
      <w:r w:rsidR="002B67F9" w:rsidRPr="001A0660">
        <w:rPr>
          <w:rFonts w:hint="cs"/>
          <w:rtl/>
        </w:rPr>
        <w:t xml:space="preserve">שלהן </w:t>
      </w:r>
      <w:r w:rsidRPr="001A0660">
        <w:rPr>
          <w:rFonts w:hint="cs"/>
          <w:rtl/>
        </w:rPr>
        <w:t xml:space="preserve">באותה שנה בכדי לוודא שיש להן כרית ביטחון מספיקה לטובת המשך פעילותן. כמו כן, מוצע לקבוע שחברה שמחלקת את הרוב הגדול של רווחיה שאינם משמשים לצורך עסקי בשנת המס לא תשלם את המס החדש על הרווחים הנותרים, ובלבד </w:t>
      </w:r>
      <w:r w:rsidR="00C37299" w:rsidRPr="001A0660">
        <w:rPr>
          <w:rFonts w:hint="cs"/>
          <w:rtl/>
        </w:rPr>
        <w:t>ששולם</w:t>
      </w:r>
      <w:r w:rsidRPr="001A0660">
        <w:rPr>
          <w:rFonts w:hint="cs"/>
          <w:rtl/>
        </w:rPr>
        <w:t xml:space="preserve"> מס הכנסה </w:t>
      </w:r>
      <w:r w:rsidR="00C37299" w:rsidRPr="001A0660">
        <w:rPr>
          <w:rFonts w:hint="cs"/>
          <w:rtl/>
        </w:rPr>
        <w:t>בחלוקת אותם רווחים</w:t>
      </w:r>
      <w:r w:rsidRPr="001A0660">
        <w:rPr>
          <w:rFonts w:hint="cs"/>
          <w:rtl/>
        </w:rPr>
        <w:t xml:space="preserve">.   </w:t>
      </w:r>
    </w:p>
    <w:p w14:paraId="15E3E007" w14:textId="77777777" w:rsidR="00DE781F" w:rsidRPr="001A0660" w:rsidRDefault="00DE781F" w:rsidP="00DE781F">
      <w:pPr>
        <w:pStyle w:val="Hesber"/>
        <w:ind w:firstLine="0"/>
        <w:rPr>
          <w:b/>
          <w:bCs/>
          <w:rtl/>
        </w:rPr>
      </w:pPr>
      <w:r w:rsidRPr="001A0660">
        <w:rPr>
          <w:rFonts w:hint="cs"/>
          <w:b/>
          <w:bCs/>
          <w:rtl/>
        </w:rPr>
        <w:t>ל</w:t>
      </w:r>
      <w:r w:rsidR="00355FB1" w:rsidRPr="001A0660">
        <w:rPr>
          <w:rFonts w:hint="cs"/>
          <w:b/>
          <w:bCs/>
          <w:rtl/>
        </w:rPr>
        <w:t>סעיף 81ג המוצע</w:t>
      </w:r>
    </w:p>
    <w:p w14:paraId="621638BE" w14:textId="77777777" w:rsidR="00A3596B" w:rsidRPr="001A0660" w:rsidRDefault="00355FB1" w:rsidP="00A3596B">
      <w:pPr>
        <w:pStyle w:val="Hesber"/>
        <w:ind w:firstLine="0"/>
        <w:rPr>
          <w:rtl/>
        </w:rPr>
      </w:pPr>
      <w:r w:rsidRPr="001A0660">
        <w:rPr>
          <w:rFonts w:hint="cs"/>
          <w:rtl/>
        </w:rPr>
        <w:t xml:space="preserve">המס החדש יוטל על סכום הרווחים העודפים של חברת המעטים. סכום זה משקף את הרווחים שאינם משמשים את החברה במישרין לפעילותה הריאלית באותה שנת מס. </w:t>
      </w:r>
      <w:r w:rsidR="00A3596B" w:rsidRPr="001A0660">
        <w:rPr>
          <w:rFonts w:hint="cs"/>
          <w:rtl/>
        </w:rPr>
        <w:t xml:space="preserve">מגן המס נועד להבטיח שהמס לא יחול על חברות עסקיות עם פעילות עסקית ריאלית, אלא אם החברות צברו עודפים בסכומים גבוהים מאוד שלא חולקו כדיבידנדים לבעלי המניות (מבחינת הנתונים הקיימים ברשות המסים, אין זו הדרך בה חברות עסקיות בעלות עסקים ריאליים פועלות). </w:t>
      </w:r>
    </w:p>
    <w:p w14:paraId="098BC6D0" w14:textId="77777777" w:rsidR="00355FB1" w:rsidRPr="001A0660" w:rsidRDefault="00355FB1" w:rsidP="00873120">
      <w:pPr>
        <w:pStyle w:val="Hesber"/>
        <w:rPr>
          <w:rtl/>
        </w:rPr>
      </w:pPr>
      <w:r w:rsidRPr="001A0660">
        <w:rPr>
          <w:rFonts w:hint="cs"/>
          <w:rtl/>
        </w:rPr>
        <w:t xml:space="preserve">לפי המוצע, סכום הרווחים העודפים יהיה סכום הרווחים הנצברים החייבים של החברה, בהפחתת הסכום הגבוה מבין </w:t>
      </w:r>
      <w:r w:rsidR="008D5D04" w:rsidRPr="001A0660">
        <w:rPr>
          <w:rFonts w:hint="cs"/>
          <w:rtl/>
        </w:rPr>
        <w:t xml:space="preserve">המפורטים להלן (להלן </w:t>
      </w:r>
      <w:r w:rsidR="008D5D04" w:rsidRPr="001A0660">
        <w:rPr>
          <w:rtl/>
        </w:rPr>
        <w:t>–</w:t>
      </w:r>
      <w:r w:rsidR="008D5D04" w:rsidRPr="001A0660">
        <w:rPr>
          <w:rFonts w:hint="cs"/>
          <w:rtl/>
        </w:rPr>
        <w:t xml:space="preserve"> </w:t>
      </w:r>
      <w:r w:rsidR="008D5D04" w:rsidRPr="001A0660">
        <w:rPr>
          <w:rFonts w:hint="cs"/>
          <w:b/>
          <w:bCs/>
          <w:rtl/>
        </w:rPr>
        <w:t>מגן המס</w:t>
      </w:r>
      <w:r w:rsidR="008D5D04" w:rsidRPr="001A0660">
        <w:rPr>
          <w:rFonts w:hint="cs"/>
          <w:rtl/>
        </w:rPr>
        <w:t>). קביעת מגן המס תעשה בהתאם למצבה של החברה בסוף שנת המס, כך שתינתן לחברה תקופה של 12 חודשים לפחות להשתמש ברווחים לצרכי פעילויות המקנות את מגן המס. סכום מגן המס יהיה הגבוה מבין אלה:</w:t>
      </w:r>
      <w:r w:rsidRPr="001A0660">
        <w:rPr>
          <w:rFonts w:hint="cs"/>
          <w:rtl/>
        </w:rPr>
        <w:t xml:space="preserve">  </w:t>
      </w:r>
    </w:p>
    <w:p w14:paraId="5256E1B8" w14:textId="77777777" w:rsidR="0062468A" w:rsidRPr="001A0660" w:rsidRDefault="0062468A" w:rsidP="00FF353C">
      <w:pPr>
        <w:pStyle w:val="Hesber"/>
        <w:numPr>
          <w:ilvl w:val="0"/>
          <w:numId w:val="54"/>
        </w:numPr>
        <w:rPr>
          <w:lang w:bidi="ar-SA"/>
        </w:rPr>
      </w:pPr>
      <w:r w:rsidRPr="001A0660">
        <w:rPr>
          <w:rFonts w:hint="cs"/>
          <w:rtl/>
        </w:rPr>
        <w:t>מוצע לתת מגן מס בגובה 500 אלף שקלים חדשים, וזאת ככלל דה-מינימיס, ובכדי להימנע מהפעלת הסעיף על חברות עם רווחים נצברים נמוכים. בדומה למקומות אחרים בעולם, ובכדי למנוע תמריץ ליצירת מספר רב של חברות לצורך ניצול סכום זה, מוצע לקבוע שאם חברת המעטים היא חלק מקבוצת חברות, הסכום האמור יחולק בין כל חברות הקבוצה</w:t>
      </w:r>
      <w:r w:rsidR="00481706" w:rsidRPr="001A0660">
        <w:rPr>
          <w:rFonts w:hint="cs"/>
          <w:rtl/>
        </w:rPr>
        <w:t xml:space="preserve"> באופן שווה</w:t>
      </w:r>
      <w:r w:rsidRPr="001A0660">
        <w:rPr>
          <w:rFonts w:hint="cs"/>
          <w:rtl/>
        </w:rPr>
        <w:t xml:space="preserve">.  </w:t>
      </w:r>
    </w:p>
    <w:p w14:paraId="6A1E269C" w14:textId="77777777" w:rsidR="008D5D04" w:rsidRPr="001A0660" w:rsidRDefault="00FF353C" w:rsidP="001A0660">
      <w:pPr>
        <w:pStyle w:val="Hesber"/>
        <w:numPr>
          <w:ilvl w:val="0"/>
          <w:numId w:val="54"/>
        </w:numPr>
        <w:rPr>
          <w:lang w:bidi="ar-SA"/>
        </w:rPr>
      </w:pPr>
      <w:r w:rsidRPr="001A0660">
        <w:rPr>
          <w:rFonts w:hint="cs"/>
          <w:rtl/>
        </w:rPr>
        <w:t xml:space="preserve">ממוצע ההוצאות המותרות בניכוי </w:t>
      </w:r>
      <w:r w:rsidR="008D5D04" w:rsidRPr="001A0660">
        <w:rPr>
          <w:rFonts w:hint="cs"/>
          <w:rtl/>
        </w:rPr>
        <w:t xml:space="preserve">בהפקת הכנסת החברה מעסק </w:t>
      </w:r>
      <w:r w:rsidRPr="001A0660">
        <w:rPr>
          <w:rFonts w:hint="cs"/>
          <w:rtl/>
        </w:rPr>
        <w:t xml:space="preserve">בשנת המס ובשנתיים שקדמו לה </w:t>
      </w:r>
      <w:r w:rsidR="008D5D04" w:rsidRPr="001A0660">
        <w:rPr>
          <w:rFonts w:hint="cs"/>
          <w:rtl/>
        </w:rPr>
        <w:t>או בשנת המס עצמה, לפי הגבוה</w:t>
      </w:r>
      <w:r w:rsidR="002B67F9" w:rsidRPr="001A0660">
        <w:rPr>
          <w:rFonts w:hint="cs"/>
          <w:rtl/>
        </w:rPr>
        <w:t>, יהווה גם הוא מגן מס</w:t>
      </w:r>
      <w:r w:rsidRPr="001A0660">
        <w:rPr>
          <w:rFonts w:hint="cs"/>
          <w:rtl/>
        </w:rPr>
        <w:t>.</w:t>
      </w:r>
      <w:r w:rsidR="00AB6AD0" w:rsidRPr="001A0660">
        <w:rPr>
          <w:rFonts w:hint="cs"/>
          <w:rtl/>
        </w:rPr>
        <w:t xml:space="preserve"> </w:t>
      </w:r>
      <w:r w:rsidR="008D5D04" w:rsidRPr="001A0660">
        <w:rPr>
          <w:rFonts w:hint="cs"/>
          <w:rtl/>
        </w:rPr>
        <w:t xml:space="preserve">סכום </w:t>
      </w:r>
      <w:r w:rsidR="005103B8" w:rsidRPr="001A0660">
        <w:rPr>
          <w:rFonts w:hint="cs"/>
          <w:rtl/>
        </w:rPr>
        <w:t xml:space="preserve">ההוצאות המותרות בניכוי </w:t>
      </w:r>
      <w:r w:rsidR="008D5D04" w:rsidRPr="001A0660">
        <w:rPr>
          <w:rFonts w:hint="cs"/>
          <w:rtl/>
        </w:rPr>
        <w:t>משקף את הסכום שהחברה נדרשת לו לצורך ביצוע פעילותה בשנת מס מלאה</w:t>
      </w:r>
      <w:r w:rsidR="002B67F9" w:rsidRPr="001A0660">
        <w:rPr>
          <w:rFonts w:hint="cs"/>
          <w:rtl/>
        </w:rPr>
        <w:t>.</w:t>
      </w:r>
      <w:r w:rsidR="008D5D04" w:rsidRPr="001A0660">
        <w:rPr>
          <w:rFonts w:hint="cs"/>
          <w:rtl/>
        </w:rPr>
        <w:t xml:space="preserve"> </w:t>
      </w:r>
      <w:r w:rsidR="002B67F9" w:rsidRPr="001A0660">
        <w:rPr>
          <w:rFonts w:hint="cs"/>
          <w:rtl/>
        </w:rPr>
        <w:t xml:space="preserve">כלומר, בשל מגן מס זה, חברת המעטים תוכל לצבור רווחים שלא יחויבו במס החדש בסכום שיאפשר לה </w:t>
      </w:r>
      <w:r w:rsidR="008D5D04" w:rsidRPr="001A0660">
        <w:rPr>
          <w:rFonts w:hint="cs"/>
          <w:rtl/>
        </w:rPr>
        <w:t xml:space="preserve">לממן את </w:t>
      </w:r>
      <w:r w:rsidR="002B67F9" w:rsidRPr="001A0660">
        <w:rPr>
          <w:rFonts w:hint="cs"/>
          <w:rtl/>
        </w:rPr>
        <w:t xml:space="preserve">כל </w:t>
      </w:r>
      <w:r w:rsidR="008D5D04" w:rsidRPr="001A0660">
        <w:rPr>
          <w:rFonts w:hint="cs"/>
          <w:rtl/>
        </w:rPr>
        <w:t xml:space="preserve">פעילותה </w:t>
      </w:r>
      <w:r w:rsidR="002B67F9" w:rsidRPr="001A0660">
        <w:rPr>
          <w:rFonts w:hint="cs"/>
          <w:rtl/>
        </w:rPr>
        <w:t>בשנת המס העוקבת, אפילו אם שנה זו תהיה שנה ללא הכנסות כלל</w:t>
      </w:r>
      <w:r w:rsidR="008D5D04" w:rsidRPr="001A0660">
        <w:rPr>
          <w:rFonts w:hint="cs"/>
          <w:rtl/>
        </w:rPr>
        <w:t xml:space="preserve">. סיטואציה שבה החברה לא מפיקה הכנסות במשך שנת מס מלאה, היא מאוד חריגה, ומדובר על מרווח ביטחון שנלקח לצורך מניעת פגיעה בפעילות הריאלית של חברות. </w:t>
      </w:r>
    </w:p>
    <w:p w14:paraId="21BC158D" w14:textId="77777777" w:rsidR="00AB6AD0" w:rsidRPr="001A0660" w:rsidRDefault="008D5D04" w:rsidP="00873120">
      <w:pPr>
        <w:pStyle w:val="Hesber"/>
        <w:ind w:left="720" w:firstLine="0"/>
        <w:rPr>
          <w:rtl/>
        </w:rPr>
      </w:pPr>
      <w:r w:rsidRPr="001A0660">
        <w:rPr>
          <w:rFonts w:hint="eastAsia"/>
          <w:rtl/>
        </w:rPr>
        <w:t>יצוין</w:t>
      </w:r>
      <w:r w:rsidRPr="001A0660">
        <w:rPr>
          <w:rtl/>
        </w:rPr>
        <w:t xml:space="preserve">, כי לפי נתוני רשות המסים, שיעור הרווחיות הממוצע של חברות במשק עם פעילות ריאלית </w:t>
      </w:r>
      <w:r w:rsidRPr="001A0660">
        <w:rPr>
          <w:rFonts w:hint="eastAsia"/>
          <w:rtl/>
        </w:rPr>
        <w:t>עומד</w:t>
      </w:r>
      <w:r w:rsidRPr="001A0660">
        <w:rPr>
          <w:rtl/>
        </w:rPr>
        <w:t xml:space="preserve"> </w:t>
      </w:r>
      <w:r w:rsidRPr="001A0660">
        <w:rPr>
          <w:rFonts w:hint="eastAsia"/>
          <w:rtl/>
        </w:rPr>
        <w:t>על</w:t>
      </w:r>
      <w:r w:rsidRPr="001A0660">
        <w:rPr>
          <w:rtl/>
        </w:rPr>
        <w:t xml:space="preserve"> </w:t>
      </w:r>
      <w:r w:rsidRPr="001A0660">
        <w:rPr>
          <w:rFonts w:hint="eastAsia"/>
          <w:rtl/>
        </w:rPr>
        <w:t>כ</w:t>
      </w:r>
      <w:r w:rsidRPr="001A0660">
        <w:rPr>
          <w:rtl/>
        </w:rPr>
        <w:t>-</w:t>
      </w:r>
      <w:r w:rsidR="002B67F9" w:rsidRPr="001A0660">
        <w:t>8.5</w:t>
      </w:r>
      <w:r w:rsidRPr="001A0660">
        <w:rPr>
          <w:rtl/>
        </w:rPr>
        <w:t xml:space="preserve">%. על כן, בפועל, מגן מס זה יאפשר לחברה ממוצעת </w:t>
      </w:r>
      <w:r w:rsidR="005103B8" w:rsidRPr="001A0660">
        <w:rPr>
          <w:rFonts w:hint="eastAsia"/>
          <w:rtl/>
        </w:rPr>
        <w:t>לאגור</w:t>
      </w:r>
      <w:r w:rsidR="005103B8" w:rsidRPr="001A0660">
        <w:rPr>
          <w:rtl/>
        </w:rPr>
        <w:t xml:space="preserve"> את כל רווחיה השוטפים לתקופה של </w:t>
      </w:r>
      <w:r w:rsidR="002B67F9" w:rsidRPr="001A0660">
        <w:rPr>
          <w:rtl/>
        </w:rPr>
        <w:t>10</w:t>
      </w:r>
      <w:r w:rsidR="00B31CA9" w:rsidRPr="001A0660">
        <w:rPr>
          <w:rtl/>
        </w:rPr>
        <w:t xml:space="preserve"> </w:t>
      </w:r>
      <w:r w:rsidR="005103B8" w:rsidRPr="001A0660">
        <w:rPr>
          <w:rFonts w:hint="eastAsia"/>
          <w:rtl/>
        </w:rPr>
        <w:t>שנים</w:t>
      </w:r>
      <w:r w:rsidR="005103B8" w:rsidRPr="001A0660">
        <w:rPr>
          <w:rtl/>
        </w:rPr>
        <w:t xml:space="preserve"> </w:t>
      </w:r>
      <w:r w:rsidR="005103B8" w:rsidRPr="001A0660">
        <w:rPr>
          <w:rFonts w:hint="eastAsia"/>
          <w:rtl/>
        </w:rPr>
        <w:t>בלא</w:t>
      </w:r>
      <w:r w:rsidR="005103B8" w:rsidRPr="001A0660">
        <w:rPr>
          <w:rtl/>
        </w:rPr>
        <w:t xml:space="preserve"> </w:t>
      </w:r>
      <w:r w:rsidR="005103B8" w:rsidRPr="001A0660">
        <w:rPr>
          <w:rFonts w:hint="eastAsia"/>
          <w:rtl/>
        </w:rPr>
        <w:t>שתידרש</w:t>
      </w:r>
      <w:r w:rsidR="005103B8" w:rsidRPr="001A0660">
        <w:rPr>
          <w:rtl/>
        </w:rPr>
        <w:t xml:space="preserve"> לשלם את</w:t>
      </w:r>
      <w:r w:rsidR="005103B8" w:rsidRPr="001A0660">
        <w:rPr>
          <w:rFonts w:hint="cs"/>
          <w:rtl/>
        </w:rPr>
        <w:t xml:space="preserve"> המס </w:t>
      </w:r>
      <w:r w:rsidR="002B67F9" w:rsidRPr="001A0660">
        <w:rPr>
          <w:rFonts w:hint="cs"/>
          <w:rtl/>
        </w:rPr>
        <w:t xml:space="preserve">החדש </w:t>
      </w:r>
      <w:r w:rsidR="005103B8" w:rsidRPr="001A0660">
        <w:rPr>
          <w:rFonts w:hint="cs"/>
          <w:rtl/>
        </w:rPr>
        <w:t xml:space="preserve">בכלל (זו בהנחה </w:t>
      </w:r>
      <w:r w:rsidR="00AE1FFA" w:rsidRPr="001A0660">
        <w:rPr>
          <w:rFonts w:hint="cs"/>
          <w:rtl/>
        </w:rPr>
        <w:t>שמרנית</w:t>
      </w:r>
      <w:r w:rsidR="005103B8" w:rsidRPr="001A0660">
        <w:rPr>
          <w:rFonts w:hint="cs"/>
          <w:rtl/>
        </w:rPr>
        <w:t xml:space="preserve"> ש</w:t>
      </w:r>
      <w:r w:rsidR="00AE1FFA" w:rsidRPr="001A0660">
        <w:rPr>
          <w:rFonts w:hint="cs"/>
          <w:rtl/>
        </w:rPr>
        <w:t>ל העדר צמיחה</w:t>
      </w:r>
      <w:r w:rsidR="005103B8" w:rsidRPr="001A0660">
        <w:rPr>
          <w:rFonts w:hint="cs"/>
          <w:rtl/>
        </w:rPr>
        <w:t>). רק לאחר תקופה זו, החברה תידרש לשלם את המס על הרווחים העודפים מעבר למגן המס שניתן. כמובן, שאם החברה מחלקת חלק מרווחיה או מגדילה את פעילותה העסקית, גם לאחר תקופה זו היא לא תידרש לשלם את המס החדש כלל.</w:t>
      </w:r>
    </w:p>
    <w:p w14:paraId="479384C2" w14:textId="77777777" w:rsidR="00FF353C" w:rsidRPr="001A0660" w:rsidRDefault="008C7E10" w:rsidP="005E5F28">
      <w:pPr>
        <w:pStyle w:val="Hesber"/>
        <w:ind w:left="720" w:firstLine="0"/>
      </w:pPr>
      <w:r w:rsidRPr="001A0660">
        <w:rPr>
          <w:rFonts w:hint="cs"/>
          <w:rtl/>
        </w:rPr>
        <w:t>יצוין, ש</w:t>
      </w:r>
      <w:r w:rsidR="00AB6AD0" w:rsidRPr="001A0660">
        <w:rPr>
          <w:rFonts w:hint="cs"/>
          <w:rtl/>
        </w:rPr>
        <w:t xml:space="preserve">מוצע להקנות לשר האוצר סמכות לקבוע כי </w:t>
      </w:r>
      <w:r w:rsidR="00AB6AD0" w:rsidRPr="001A0660">
        <w:rPr>
          <w:rFonts w:hint="eastAsia"/>
          <w:rtl/>
        </w:rPr>
        <w:t>הוצאות</w:t>
      </w:r>
      <w:r w:rsidR="00AB6AD0" w:rsidRPr="001A0660">
        <w:rPr>
          <w:rFonts w:hint="cs"/>
          <w:rtl/>
        </w:rPr>
        <w:t xml:space="preserve"> מסוימות לא ייחשבו כהוצאות החברה לעניין זה, וזאת לצורך וידוא שהוצאות שהוציאה החברה לצרכי השקעה, ולא לפעילות העסקית הריאלית של החברה, לא יגדילו את מגן המס. </w:t>
      </w:r>
    </w:p>
    <w:p w14:paraId="0158EBB5" w14:textId="77777777" w:rsidR="0062468A" w:rsidRPr="001A0660" w:rsidRDefault="005103B8" w:rsidP="0062468A">
      <w:pPr>
        <w:pStyle w:val="Hesber"/>
        <w:numPr>
          <w:ilvl w:val="0"/>
          <w:numId w:val="54"/>
        </w:numPr>
      </w:pPr>
      <w:r w:rsidRPr="001A0660">
        <w:rPr>
          <w:rFonts w:hint="cs"/>
          <w:rtl/>
        </w:rPr>
        <w:t xml:space="preserve">החלופה השנייה </w:t>
      </w:r>
      <w:r w:rsidR="000B05D6" w:rsidRPr="001A0660">
        <w:rPr>
          <w:rFonts w:hint="cs"/>
          <w:rtl/>
        </w:rPr>
        <w:t>לקבלת</w:t>
      </w:r>
      <w:r w:rsidRPr="001A0660">
        <w:rPr>
          <w:rFonts w:hint="cs"/>
          <w:rtl/>
        </w:rPr>
        <w:t xml:space="preserve"> מגן </w:t>
      </w:r>
      <w:r w:rsidR="000B05D6" w:rsidRPr="001A0660">
        <w:rPr>
          <w:rFonts w:hint="cs"/>
          <w:rtl/>
        </w:rPr>
        <w:t>ה</w:t>
      </w:r>
      <w:r w:rsidRPr="001A0660">
        <w:rPr>
          <w:rFonts w:hint="cs"/>
          <w:rtl/>
        </w:rPr>
        <w:t xml:space="preserve">מס, נועדה לאפשר לחברות שימוש ברווחים לטובת השקעות עסקיות ארוכות טווח, והיא מבוססת על </w:t>
      </w:r>
      <w:r w:rsidR="0062468A" w:rsidRPr="001A0660">
        <w:rPr>
          <w:rFonts w:hint="cs"/>
          <w:rtl/>
        </w:rPr>
        <w:t xml:space="preserve">יתרת </w:t>
      </w:r>
      <w:r w:rsidRPr="001A0660">
        <w:rPr>
          <w:rFonts w:hint="cs"/>
          <w:rtl/>
        </w:rPr>
        <w:t xml:space="preserve">עלות ההשקעה של החברה בנכסיה העסקיים. </w:t>
      </w:r>
      <w:r w:rsidR="00A3596B" w:rsidRPr="001A0660">
        <w:rPr>
          <w:rFonts w:hint="cs"/>
          <w:rtl/>
        </w:rPr>
        <w:t xml:space="preserve">לפי </w:t>
      </w:r>
      <w:r w:rsidR="0062468A" w:rsidRPr="001A0660">
        <w:rPr>
          <w:rFonts w:hint="cs"/>
          <w:rtl/>
        </w:rPr>
        <w:t>ה</w:t>
      </w:r>
      <w:r w:rsidR="00A3596B" w:rsidRPr="001A0660">
        <w:rPr>
          <w:rFonts w:hint="cs"/>
          <w:rtl/>
        </w:rPr>
        <w:t xml:space="preserve">מוצע, מגן </w:t>
      </w:r>
      <w:r w:rsidR="0062468A" w:rsidRPr="001A0660">
        <w:rPr>
          <w:rFonts w:hint="cs"/>
          <w:rtl/>
        </w:rPr>
        <w:t xml:space="preserve">המס </w:t>
      </w:r>
      <w:r w:rsidR="00A3596B" w:rsidRPr="001A0660">
        <w:rPr>
          <w:rFonts w:hint="cs"/>
          <w:rtl/>
        </w:rPr>
        <w:t xml:space="preserve">יהיה בגובה </w:t>
      </w:r>
      <w:r w:rsidR="0062468A" w:rsidRPr="001A0660">
        <w:rPr>
          <w:rFonts w:hint="cs"/>
          <w:rtl/>
        </w:rPr>
        <w:t xml:space="preserve">יתרת </w:t>
      </w:r>
      <w:r w:rsidR="00FF353C" w:rsidRPr="001A0660">
        <w:rPr>
          <w:rFonts w:hint="cs"/>
          <w:rtl/>
        </w:rPr>
        <w:t>עלות נכסי החברה</w:t>
      </w:r>
      <w:r w:rsidR="00A3596B" w:rsidRPr="001A0660">
        <w:rPr>
          <w:rFonts w:hint="cs"/>
          <w:rtl/>
        </w:rPr>
        <w:t xml:space="preserve"> כפי שמחושבים לצרכי מס, ולרבות מזומנים,</w:t>
      </w:r>
      <w:r w:rsidR="00FF353C" w:rsidRPr="001A0660">
        <w:rPr>
          <w:rFonts w:hint="cs"/>
          <w:rtl/>
        </w:rPr>
        <w:t xml:space="preserve"> </w:t>
      </w:r>
      <w:r w:rsidR="00A3596B" w:rsidRPr="001A0660">
        <w:rPr>
          <w:rFonts w:hint="cs"/>
          <w:rtl/>
        </w:rPr>
        <w:t>כאשר מסכום זה יופחת</w:t>
      </w:r>
      <w:r w:rsidR="0062468A" w:rsidRPr="001A0660">
        <w:rPr>
          <w:rFonts w:hint="cs"/>
          <w:rtl/>
        </w:rPr>
        <w:t>ו</w:t>
      </w:r>
      <w:r w:rsidR="00A3596B" w:rsidRPr="001A0660">
        <w:rPr>
          <w:rFonts w:hint="cs"/>
          <w:rtl/>
        </w:rPr>
        <w:t xml:space="preserve"> סכומי</w:t>
      </w:r>
      <w:r w:rsidR="0062468A" w:rsidRPr="001A0660">
        <w:rPr>
          <w:rFonts w:hint="cs"/>
          <w:rtl/>
        </w:rPr>
        <w:t>ם</w:t>
      </w:r>
      <w:r w:rsidR="00A3596B" w:rsidRPr="001A0660">
        <w:rPr>
          <w:rFonts w:hint="cs"/>
          <w:rtl/>
        </w:rPr>
        <w:t xml:space="preserve"> </w:t>
      </w:r>
      <w:r w:rsidR="0062468A" w:rsidRPr="001A0660">
        <w:rPr>
          <w:rFonts w:hint="cs"/>
          <w:rtl/>
        </w:rPr>
        <w:t>שהושקעו</w:t>
      </w:r>
      <w:r w:rsidR="00A3596B" w:rsidRPr="001A0660">
        <w:rPr>
          <w:rFonts w:hint="cs"/>
          <w:rtl/>
        </w:rPr>
        <w:t xml:space="preserve"> בנכסים שמשמשים לרוב כנכסי השקעה (נכסים אלה מוגדרים בחוק כ-"נכסים מיוחדים"). </w:t>
      </w:r>
      <w:r w:rsidR="0062468A" w:rsidRPr="001A0660">
        <w:rPr>
          <w:rFonts w:hint="cs"/>
          <w:rtl/>
        </w:rPr>
        <w:t>בנוסף, בכדי לאפשר לקבוצות חברות לפעול לפי מבני אחזקות שיעילים מבחינת</w:t>
      </w:r>
      <w:r w:rsidR="008C7E10" w:rsidRPr="001A0660">
        <w:rPr>
          <w:rFonts w:hint="cs"/>
          <w:rtl/>
        </w:rPr>
        <w:t>ן</w:t>
      </w:r>
      <w:r w:rsidR="0062468A" w:rsidRPr="001A0660">
        <w:rPr>
          <w:rFonts w:hint="cs"/>
          <w:rtl/>
        </w:rPr>
        <w:t xml:space="preserve"> לצרכיה</w:t>
      </w:r>
      <w:r w:rsidR="008C7E10" w:rsidRPr="001A0660">
        <w:rPr>
          <w:rFonts w:hint="cs"/>
          <w:rtl/>
        </w:rPr>
        <w:t>ן</w:t>
      </w:r>
      <w:r w:rsidR="0062468A" w:rsidRPr="001A0660">
        <w:rPr>
          <w:rFonts w:hint="cs"/>
          <w:rtl/>
        </w:rPr>
        <w:t xml:space="preserve"> העסקיים, מוצע שלא להפחית את מגן בשל השקעות בחברות עסקיות מוחזקות על אף שמניות של חברה הן נכס השקעה קלאסי. כלומר, מגן המס יהיה בגובה עלות הנכסים המשמשים את החברה לצורך פעילותה העסקית, לרבות באמצעות חברות בנות.</w:t>
      </w:r>
    </w:p>
    <w:p w14:paraId="4B574171" w14:textId="77777777" w:rsidR="0062468A" w:rsidRPr="001A0660" w:rsidRDefault="0062468A" w:rsidP="00873120">
      <w:pPr>
        <w:pStyle w:val="Hesber"/>
        <w:ind w:left="720" w:firstLine="0"/>
        <w:rPr>
          <w:rtl/>
        </w:rPr>
      </w:pPr>
      <w:r w:rsidRPr="001A0660">
        <w:rPr>
          <w:rFonts w:hint="cs"/>
          <w:rtl/>
        </w:rPr>
        <w:t xml:space="preserve">גם חלופה זו, המתייחסת לנכסי החברה, תחושב לפי היתרה בתום שנת המס, וזאת על מנת להתחשב בהשקעות שבוצעו במהלך השנה אשר יכולות להגדיל את מגן המס.  </w:t>
      </w:r>
    </w:p>
    <w:p w14:paraId="6D7658DA" w14:textId="77777777" w:rsidR="00481706" w:rsidRPr="001A0660" w:rsidRDefault="00481706" w:rsidP="00481706">
      <w:pPr>
        <w:pStyle w:val="Hesber"/>
        <w:ind w:left="720" w:firstLine="0"/>
        <w:rPr>
          <w:rtl/>
        </w:rPr>
      </w:pPr>
      <w:r w:rsidRPr="001A0660">
        <w:rPr>
          <w:rFonts w:hint="cs"/>
          <w:rtl/>
        </w:rPr>
        <w:t xml:space="preserve">הגדרת נכסים מיוחדים (אשר מפחיתים את מגן המס) כוללת </w:t>
      </w:r>
      <w:r w:rsidR="0062468A" w:rsidRPr="001A0660">
        <w:rPr>
          <w:rFonts w:hint="cs"/>
          <w:rtl/>
        </w:rPr>
        <w:t xml:space="preserve">ניירות ערך; מזומנים ושווה מזומנים; הון עצמי; </w:t>
      </w:r>
      <w:r w:rsidRPr="001A0660">
        <w:rPr>
          <w:rFonts w:hint="cs"/>
          <w:rtl/>
        </w:rPr>
        <w:t>ו</w:t>
      </w:r>
      <w:r w:rsidR="0062468A" w:rsidRPr="001A0660">
        <w:rPr>
          <w:rFonts w:hint="cs"/>
          <w:rtl/>
        </w:rPr>
        <w:t>שטרי הון מצד קשור</w:t>
      </w:r>
      <w:r w:rsidRPr="001A0660">
        <w:rPr>
          <w:rFonts w:hint="cs"/>
          <w:rtl/>
        </w:rPr>
        <w:t>. כמו כן, יתרת עלות נכס בלתי מוחשי המשמש כנכס השקעה או יתרת עלות הרכישה של זכות במקרקעין שאינה משמשת לשימוש עצמי, גם הן, יפחיתו את גובה מגן המס. לבסוף, מוצע להסמיך את שר האוצר</w:t>
      </w:r>
      <w:r w:rsidR="0062468A" w:rsidRPr="001A0660">
        <w:rPr>
          <w:rFonts w:hint="cs"/>
          <w:rtl/>
        </w:rPr>
        <w:t xml:space="preserve"> </w:t>
      </w:r>
      <w:r w:rsidRPr="001A0660">
        <w:rPr>
          <w:rFonts w:hint="cs"/>
          <w:rtl/>
        </w:rPr>
        <w:t>לקבוע נכסים מיוחדים נוספים אם יתברר שיש נכסים נוספים אשר משמשים חברות להשקעה</w:t>
      </w:r>
      <w:r w:rsidR="0062468A" w:rsidRPr="001A0660">
        <w:rPr>
          <w:rFonts w:hint="cs"/>
          <w:rtl/>
        </w:rPr>
        <w:t>.</w:t>
      </w:r>
    </w:p>
    <w:p w14:paraId="703B8F77" w14:textId="77777777" w:rsidR="00481706" w:rsidRPr="001A0660" w:rsidRDefault="00481706" w:rsidP="00481706">
      <w:pPr>
        <w:pStyle w:val="Hesber"/>
        <w:ind w:left="720" w:firstLine="0"/>
        <w:rPr>
          <w:rtl/>
        </w:rPr>
      </w:pPr>
      <w:r w:rsidRPr="001A0660">
        <w:rPr>
          <w:rFonts w:hint="cs"/>
          <w:rtl/>
        </w:rPr>
        <w:t xml:space="preserve">כאמור לעיל, על אף שככלל החזקה בנכס פיננסי, כדוגמת מניות, תפחית את גובה מגן המס, מוצע להפחית את מגן המס בגובה עלות השקעה בחברה מוחזקת עסקית. </w:t>
      </w:r>
      <w:r w:rsidRPr="001A0660">
        <w:rPr>
          <w:rtl/>
        </w:rPr>
        <w:t>חבר בני אדם</w:t>
      </w:r>
      <w:r w:rsidRPr="001A0660">
        <w:rPr>
          <w:rFonts w:hint="cs"/>
          <w:rtl/>
        </w:rPr>
        <w:t xml:space="preserve"> מוחזק מוגדר כחבר בני אדם</w:t>
      </w:r>
      <w:r w:rsidRPr="001A0660">
        <w:rPr>
          <w:rtl/>
        </w:rPr>
        <w:t xml:space="preserve"> שחברת המעטים מחזיקה בו, במישרין או בעקיפין, ב</w:t>
      </w:r>
      <w:r w:rsidRPr="001A0660">
        <w:rPr>
          <w:rFonts w:hint="cs"/>
          <w:rtl/>
        </w:rPr>
        <w:t xml:space="preserve">שיעור של </w:t>
      </w:r>
      <w:r w:rsidRPr="001A0660">
        <w:rPr>
          <w:rtl/>
        </w:rPr>
        <w:t>10% לפחות בכל אחד מאמצעי השליטה בו, למעט חבר בני אדם שעיקר שוויו, במישרין או בעקיפין, מקורו בנכסים מיוחדים</w:t>
      </w:r>
      <w:r w:rsidRPr="001A0660">
        <w:rPr>
          <w:rFonts w:hint="cs"/>
          <w:rtl/>
        </w:rPr>
        <w:t xml:space="preserve">. </w:t>
      </w:r>
    </w:p>
    <w:p w14:paraId="37FBB434" w14:textId="77777777" w:rsidR="00481706" w:rsidRPr="001A0660" w:rsidRDefault="00481706" w:rsidP="00873120">
      <w:pPr>
        <w:pStyle w:val="Hesber"/>
        <w:ind w:firstLine="0"/>
        <w:rPr>
          <w:b/>
          <w:bCs/>
          <w:rtl/>
        </w:rPr>
      </w:pPr>
      <w:r w:rsidRPr="001A0660">
        <w:rPr>
          <w:rFonts w:hint="cs"/>
          <w:b/>
          <w:bCs/>
          <w:rtl/>
        </w:rPr>
        <w:t>לסעיף 81ד המוצע</w:t>
      </w:r>
    </w:p>
    <w:p w14:paraId="4E3CFEFD" w14:textId="77777777" w:rsidR="00C053C9" w:rsidRPr="001A0660" w:rsidRDefault="00FF353C" w:rsidP="00481706">
      <w:pPr>
        <w:pStyle w:val="Hesber1st"/>
        <w:tabs>
          <w:tab w:val="clear" w:pos="680"/>
        </w:tabs>
        <w:rPr>
          <w:rtl/>
        </w:rPr>
      </w:pPr>
      <w:r w:rsidRPr="001A0660">
        <w:rPr>
          <w:rFonts w:hint="cs"/>
          <w:rtl/>
        </w:rPr>
        <w:t>המס שישולם לפי סעיף זה לא יותר בניכוי מהכנסות החברה ולא יהיה בר זיכוי מהמס על הדיבידנד במועד חלוקת הדיבידנד בפועל, אך הוא יפחית את יתרת הרווחים הלא מחולקים החייבים במס</w:t>
      </w:r>
      <w:r w:rsidR="00481706" w:rsidRPr="001A0660">
        <w:rPr>
          <w:rFonts w:hint="cs"/>
          <w:rtl/>
        </w:rPr>
        <w:t xml:space="preserve"> בשנת המס העוקבת</w:t>
      </w:r>
      <w:r w:rsidRPr="001A0660">
        <w:rPr>
          <w:rFonts w:hint="cs"/>
          <w:rtl/>
        </w:rPr>
        <w:t>.</w:t>
      </w:r>
      <w:r w:rsidR="00481706" w:rsidRPr="001A0660">
        <w:rPr>
          <w:rFonts w:hint="cs"/>
          <w:rtl/>
        </w:rPr>
        <w:t xml:space="preserve"> יצוין, שהעובדה שהמס לא יהיה מותר בניכוי נלקח</w:t>
      </w:r>
      <w:r w:rsidR="00C053C9" w:rsidRPr="001A0660">
        <w:rPr>
          <w:rFonts w:hint="cs"/>
          <w:rtl/>
        </w:rPr>
        <w:t>ה</w:t>
      </w:r>
      <w:r w:rsidR="00481706" w:rsidRPr="001A0660">
        <w:rPr>
          <w:rFonts w:hint="cs"/>
          <w:rtl/>
        </w:rPr>
        <w:t xml:space="preserve"> בחשבון בחישוב שיעור המס החדש</w:t>
      </w:r>
      <w:r w:rsidR="00C053C9" w:rsidRPr="001A0660">
        <w:rPr>
          <w:rFonts w:hint="cs"/>
          <w:rtl/>
        </w:rPr>
        <w:t>.</w:t>
      </w:r>
      <w:r w:rsidR="008C7E10" w:rsidRPr="001A0660">
        <w:rPr>
          <w:rFonts w:hint="cs"/>
          <w:rtl/>
        </w:rPr>
        <w:t xml:space="preserve"> למעשה </w:t>
      </w:r>
      <w:r w:rsidR="00C053C9" w:rsidRPr="001A0660">
        <w:rPr>
          <w:rFonts w:hint="cs"/>
          <w:rtl/>
        </w:rPr>
        <w:t>קביעה כי המס יהיה מותר בניכוי תחייב הגדלת שיעור המס בהתאם, ותגיע לתוצאה דומה מבחינה כלכלית אך תהווה נטל בירוקרטי על החברות ועל רשות המסים</w:t>
      </w:r>
      <w:r w:rsidR="00481706" w:rsidRPr="001A0660">
        <w:rPr>
          <w:rFonts w:hint="cs"/>
          <w:rtl/>
        </w:rPr>
        <w:t>.</w:t>
      </w:r>
    </w:p>
    <w:p w14:paraId="150F106C" w14:textId="77777777" w:rsidR="00C053C9" w:rsidRPr="001A0660" w:rsidRDefault="00C053C9" w:rsidP="00481706">
      <w:pPr>
        <w:pStyle w:val="Hesber1st"/>
        <w:tabs>
          <w:tab w:val="clear" w:pos="680"/>
        </w:tabs>
        <w:rPr>
          <w:b/>
          <w:bCs/>
          <w:rtl/>
        </w:rPr>
      </w:pPr>
      <w:r w:rsidRPr="001A0660">
        <w:rPr>
          <w:rFonts w:hint="cs"/>
          <w:b/>
          <w:bCs/>
          <w:rtl/>
        </w:rPr>
        <w:t>לסעיף 81ה ו-81ו המוצעים</w:t>
      </w:r>
    </w:p>
    <w:p w14:paraId="7DF5B0E9" w14:textId="77777777" w:rsidR="00C053C9" w:rsidRPr="001A0660" w:rsidRDefault="00C053C9" w:rsidP="00C053C9">
      <w:pPr>
        <w:pStyle w:val="Hesber1st"/>
        <w:tabs>
          <w:tab w:val="clear" w:pos="680"/>
        </w:tabs>
        <w:rPr>
          <w:rtl/>
          <w:lang w:eastAsia="he-IL"/>
        </w:rPr>
      </w:pPr>
      <w:r w:rsidRPr="001A0660">
        <w:rPr>
          <w:rFonts w:hint="cs"/>
          <w:rtl/>
          <w:lang w:eastAsia="he-IL"/>
        </w:rPr>
        <w:t>המס החדש הוא תוספת למס ההכנסה הנגב</w:t>
      </w:r>
      <w:r w:rsidR="008C7E10" w:rsidRPr="001A0660">
        <w:rPr>
          <w:rFonts w:hint="cs"/>
          <w:rtl/>
          <w:lang w:eastAsia="he-IL"/>
        </w:rPr>
        <w:t>ית</w:t>
      </w:r>
      <w:r w:rsidRPr="001A0660">
        <w:rPr>
          <w:rFonts w:hint="cs"/>
          <w:rtl/>
          <w:lang w:eastAsia="he-IL"/>
        </w:rPr>
        <w:t xml:space="preserve"> בהתאם להוראות הפקודה ו</w:t>
      </w:r>
      <w:r w:rsidR="008C7E10" w:rsidRPr="001A0660">
        <w:rPr>
          <w:rFonts w:hint="cs"/>
          <w:rtl/>
          <w:lang w:eastAsia="he-IL"/>
        </w:rPr>
        <w:t>כ</w:t>
      </w:r>
      <w:r w:rsidRPr="001A0660">
        <w:rPr>
          <w:rFonts w:hint="cs"/>
          <w:rtl/>
          <w:lang w:eastAsia="he-IL"/>
        </w:rPr>
        <w:t xml:space="preserve">חלק אינטרגרלי ממערכת מס ההכנסה. בשים לב לקשר שבין המס החדש ומס הכנסה, מוצע לקבוע כי הוראות החלות לפי פקודת מס הכנסה על תשלום מס הכנסה וגבייתו </w:t>
      </w:r>
      <w:r w:rsidRPr="001A0660">
        <w:rPr>
          <w:rtl/>
          <w:lang w:eastAsia="he-IL"/>
        </w:rPr>
        <w:t>–</w:t>
      </w:r>
      <w:r w:rsidRPr="001A0660">
        <w:rPr>
          <w:rFonts w:hint="cs"/>
          <w:rtl/>
          <w:lang w:eastAsia="he-IL"/>
        </w:rPr>
        <w:t xml:space="preserve"> ובכלל זה הוראות לעניין דיווח, מועדי תשלום המס, ריבית והפרשי הצמדה, החזר מס ששולם ביתר, עונשין וסמכויות גבייה של רשות המסים </w:t>
      </w:r>
      <w:r w:rsidRPr="001A0660">
        <w:rPr>
          <w:rtl/>
          <w:lang w:eastAsia="he-IL"/>
        </w:rPr>
        <w:t>–</w:t>
      </w:r>
      <w:r w:rsidRPr="001A0660">
        <w:rPr>
          <w:rFonts w:hint="cs"/>
          <w:rtl/>
          <w:lang w:eastAsia="he-IL"/>
        </w:rPr>
        <w:t xml:space="preserve"> יחולו, בשינויים המחויבים, על המס החדש. </w:t>
      </w:r>
    </w:p>
    <w:p w14:paraId="5590C4E4" w14:textId="77777777" w:rsidR="00C053C9" w:rsidRPr="001A0660" w:rsidRDefault="00C053C9" w:rsidP="00C053C9">
      <w:pPr>
        <w:pStyle w:val="Hesber"/>
        <w:rPr>
          <w:rtl/>
          <w:lang w:eastAsia="he-IL"/>
        </w:rPr>
      </w:pPr>
      <w:r w:rsidRPr="001A0660">
        <w:rPr>
          <w:rFonts w:hint="cs"/>
          <w:rtl/>
          <w:lang w:eastAsia="he-IL"/>
        </w:rPr>
        <w:t xml:space="preserve">עם זאת, לעניין חישוב המס, מוצע להבהיר כי המס החדש אינו חלק ממס ההכנסה, ובאופן ספציפי יותר, אינו חלק ממס חברות. בהתאם לכך, ההוראות הנוגעות לחישוב המס לפי חלקים ב' עד ז' לפקודת מס הכנסה, לרבות לעניין ניכויים, זיכויים, פטורים, וקיזוז הפסדים, לא רלוונטים בקשר למס החדש. </w:t>
      </w:r>
    </w:p>
    <w:p w14:paraId="2DDE4E8C" w14:textId="77777777" w:rsidR="00C053C9" w:rsidRPr="001A0660" w:rsidRDefault="00C053C9" w:rsidP="00C053C9">
      <w:pPr>
        <w:pStyle w:val="Hesber1st"/>
        <w:tabs>
          <w:tab w:val="clear" w:pos="680"/>
        </w:tabs>
        <w:rPr>
          <w:rtl/>
          <w:lang w:eastAsia="he-IL"/>
        </w:rPr>
      </w:pPr>
      <w:r w:rsidRPr="001A0660">
        <w:rPr>
          <w:rFonts w:hint="cs"/>
          <w:rtl/>
          <w:lang w:eastAsia="he-IL"/>
        </w:rPr>
        <w:t>מוצע שלא יחולו הוראות פקודת מס הכנסה לעניין תשלום מקדמות. חלף זאת, מוצע להקנות לשר האוצר סמכות לקבוע תקנות לעניין מקדמות שישולמו על חשבון המס החדש. במסגרת התקנות, יכול שייקבעו הסדרים מיוחדים לעניין מקדמות כאמור, בשים לב למאפייניו של המס החדש.</w:t>
      </w:r>
    </w:p>
    <w:p w14:paraId="44782408" w14:textId="77777777" w:rsidR="00C053C9" w:rsidRPr="001A0660" w:rsidRDefault="00C053C9" w:rsidP="00C053C9">
      <w:pPr>
        <w:pStyle w:val="Hesber"/>
        <w:rPr>
          <w:rtl/>
          <w:lang w:eastAsia="he-IL"/>
        </w:rPr>
      </w:pPr>
      <w:r w:rsidRPr="001A0660">
        <w:rPr>
          <w:rFonts w:hint="cs"/>
          <w:rtl/>
          <w:lang w:eastAsia="he-IL"/>
        </w:rPr>
        <w:t>כמו כן שר האוצר יהיה רשאי לקבוע כי ההוראות לפי סעיפים 180 ו-190 לפקודה יחולו על מקדמות  לפי אותן תקנות, בשינויים המחויבים. הסעיפים האמורים עוסקים בסמכות פקיד השומה להקטין או להגדיל את סכום המקדמות ובקנס על פיגור בתשלום.</w:t>
      </w:r>
    </w:p>
    <w:p w14:paraId="500B1235" w14:textId="77777777" w:rsidR="002D74C3" w:rsidRPr="001A0660" w:rsidRDefault="002D74C3" w:rsidP="00C053C9">
      <w:pPr>
        <w:pStyle w:val="Hesber"/>
        <w:rPr>
          <w:rtl/>
          <w:lang w:eastAsia="he-IL"/>
        </w:rPr>
      </w:pPr>
      <w:r w:rsidRPr="001A0660">
        <w:rPr>
          <w:rFonts w:hint="cs"/>
          <w:rtl/>
          <w:lang w:eastAsia="he-IL"/>
        </w:rPr>
        <w:t>יצוין, כי הוראות אנטי תכנוניות כדוגמת סעיף 86, רלוונטיות גם לעניין המס החדש, ויחולו ככל שפקיד השומה סבור כי נעשתה פעולה מלאכותית לצורך הקטנת המס ה</w:t>
      </w:r>
      <w:r w:rsidR="008C7E10" w:rsidRPr="001A0660">
        <w:rPr>
          <w:rFonts w:hint="cs"/>
          <w:rtl/>
          <w:lang w:eastAsia="he-IL"/>
        </w:rPr>
        <w:t>חדש</w:t>
      </w:r>
      <w:r w:rsidRPr="001A0660">
        <w:rPr>
          <w:rFonts w:hint="cs"/>
          <w:rtl/>
          <w:lang w:eastAsia="he-IL"/>
        </w:rPr>
        <w:t>.</w:t>
      </w:r>
    </w:p>
    <w:p w14:paraId="53C66A26" w14:textId="77777777" w:rsidR="00FF353C" w:rsidRPr="001A0660" w:rsidRDefault="00FF353C" w:rsidP="00481706">
      <w:pPr>
        <w:pStyle w:val="Hesber1st"/>
        <w:tabs>
          <w:tab w:val="clear" w:pos="680"/>
        </w:tabs>
        <w:rPr>
          <w:b/>
          <w:bCs/>
          <w:rtl/>
        </w:rPr>
      </w:pPr>
      <w:r w:rsidRPr="001A0660">
        <w:rPr>
          <w:rFonts w:hint="cs"/>
          <w:rtl/>
        </w:rPr>
        <w:t xml:space="preserve"> </w:t>
      </w:r>
      <w:r w:rsidR="00C053C9" w:rsidRPr="001A0660">
        <w:rPr>
          <w:rFonts w:hint="cs"/>
          <w:b/>
          <w:bCs/>
          <w:rtl/>
        </w:rPr>
        <w:t>לסעיף 81ז</w:t>
      </w:r>
    </w:p>
    <w:p w14:paraId="7DE3070C" w14:textId="77777777" w:rsidR="00C053C9" w:rsidRPr="001A0660" w:rsidRDefault="00C053C9" w:rsidP="00C053C9">
      <w:pPr>
        <w:pStyle w:val="Hesber1st"/>
        <w:rPr>
          <w:rtl/>
        </w:rPr>
      </w:pPr>
      <w:r w:rsidRPr="001A0660">
        <w:rPr>
          <w:rFonts w:hint="cs"/>
          <w:rtl/>
        </w:rPr>
        <w:t xml:space="preserve">הטלת מס על חברות ישראליות כאמור בסימן זה, יכולה להביא לידי הסטת פעילות פסיבית לחוץ לישראל וחוסר שוויון בין מי שמשקיע באמצעות חברה ישראלית למי שמשקיע באמצעות חברה זרה. על אף שככל הנראה בהסטת הכנסות כאמור יחולו ההוראות החלות על חברה נשלטת זרה, הוראות אלה, </w:t>
      </w:r>
      <w:r w:rsidR="008C7E10" w:rsidRPr="001A0660">
        <w:rPr>
          <w:rFonts w:hint="cs"/>
          <w:rtl/>
        </w:rPr>
        <w:t xml:space="preserve">בשילוב עם קביעת המס החדש, </w:t>
      </w:r>
      <w:r w:rsidRPr="001A0660">
        <w:rPr>
          <w:rFonts w:hint="cs"/>
          <w:rtl/>
        </w:rPr>
        <w:t>במקרים מסוימים יכולות להביא להעדפה של השקעה מחוץ לישראל. על כן, מוצע להסמיך את שר האוצר לקבוע בתקנות מנגנון אשר יטיל מס על תושבי ישראל שהם בעלי מניות של חברות זרות אשר יש להן רווחים שלא חולקו לפי מנגנון אשר יקבע</w:t>
      </w:r>
      <w:r w:rsidR="008C7E10" w:rsidRPr="001A0660">
        <w:rPr>
          <w:rFonts w:hint="cs"/>
          <w:rtl/>
        </w:rPr>
        <w:t>,</w:t>
      </w:r>
      <w:r w:rsidRPr="001A0660">
        <w:rPr>
          <w:rFonts w:hint="cs"/>
          <w:rtl/>
        </w:rPr>
        <w:t xml:space="preserve"> שיביא לתוצאה דומה מבחינה כלכלית לתוצאה הנגרמת בשל הטלת המס לפי סעיף זה על חברות ישראליות.</w:t>
      </w:r>
    </w:p>
    <w:p w14:paraId="09924FFF" w14:textId="77777777" w:rsidR="00C053C9" w:rsidRPr="001A0660" w:rsidRDefault="00C053C9" w:rsidP="00C053C9">
      <w:pPr>
        <w:pStyle w:val="Hesber1st"/>
        <w:rPr>
          <w:b/>
          <w:bCs/>
          <w:rtl/>
        </w:rPr>
      </w:pPr>
      <w:r w:rsidRPr="001A0660">
        <w:rPr>
          <w:rFonts w:hint="cs"/>
          <w:b/>
          <w:bCs/>
          <w:rtl/>
        </w:rPr>
        <w:t>לפסקה (6)</w:t>
      </w:r>
    </w:p>
    <w:p w14:paraId="4D13AE32" w14:textId="77777777" w:rsidR="007147F0" w:rsidRPr="001A0660" w:rsidRDefault="007147F0" w:rsidP="00C053C9">
      <w:pPr>
        <w:pStyle w:val="Hesber1st"/>
        <w:rPr>
          <w:rtl/>
        </w:rPr>
      </w:pPr>
      <w:r w:rsidRPr="001A0660">
        <w:rPr>
          <w:rFonts w:hint="cs"/>
          <w:rtl/>
        </w:rPr>
        <w:t xml:space="preserve">מוצע לקבוע קנס גרעון על חברות שאינן מדווחות כראוי על </w:t>
      </w:r>
      <w:r w:rsidR="008C7E10" w:rsidRPr="001A0660">
        <w:rPr>
          <w:rFonts w:hint="cs"/>
          <w:rtl/>
        </w:rPr>
        <w:t>המס החדש</w:t>
      </w:r>
      <w:r w:rsidRPr="001A0660">
        <w:rPr>
          <w:rFonts w:hint="cs"/>
          <w:rtl/>
        </w:rPr>
        <w:t xml:space="preserve">, וזאת לפי אותם עקרונות הקיימים היום לעניין קנס גרעון בשל תשלום בחסר של מס הכנסה בעקבות דיווח לקוי. לצורך כך, מוצע להפריד בין הגרעון לעניין מס הכנסה לבין הגרעון לעניין </w:t>
      </w:r>
      <w:r w:rsidR="008C7E10" w:rsidRPr="001A0660">
        <w:rPr>
          <w:rFonts w:hint="cs"/>
          <w:rtl/>
        </w:rPr>
        <w:t>המס החדש</w:t>
      </w:r>
      <w:r w:rsidRPr="001A0660">
        <w:rPr>
          <w:rFonts w:hint="cs"/>
          <w:rtl/>
        </w:rPr>
        <w:t>, כאשר גרעון בכל אחד מסוגי המסים תאפשר הטלת קנס גרעון, והכל לפי ההוראות שקבועות בסעיף הקיים.</w:t>
      </w:r>
    </w:p>
    <w:p w14:paraId="070E95B9" w14:textId="77777777" w:rsidR="007147F0" w:rsidRPr="001A0660" w:rsidRDefault="007147F0" w:rsidP="00C053C9">
      <w:pPr>
        <w:pStyle w:val="Hesber1st"/>
        <w:rPr>
          <w:b/>
          <w:bCs/>
          <w:rtl/>
        </w:rPr>
      </w:pPr>
      <w:r w:rsidRPr="001A0660">
        <w:rPr>
          <w:rFonts w:hint="cs"/>
          <w:b/>
          <w:bCs/>
          <w:rtl/>
        </w:rPr>
        <w:t>לסעיף 2</w:t>
      </w:r>
    </w:p>
    <w:p w14:paraId="5592A0B7" w14:textId="77777777" w:rsidR="00C053C9" w:rsidRPr="001A0660" w:rsidRDefault="007147F0" w:rsidP="00C053C9">
      <w:pPr>
        <w:pStyle w:val="Hesber1st"/>
        <w:rPr>
          <w:b/>
          <w:bCs/>
          <w:rtl/>
        </w:rPr>
      </w:pPr>
      <w:r w:rsidRPr="001A0660">
        <w:rPr>
          <w:rFonts w:hint="cs"/>
          <w:rtl/>
        </w:rPr>
        <w:t xml:space="preserve"> </w:t>
      </w:r>
      <w:r w:rsidR="00AE1FFA" w:rsidRPr="001A0660">
        <w:rPr>
          <w:rFonts w:hint="cs"/>
          <w:b/>
          <w:bCs/>
          <w:rtl/>
        </w:rPr>
        <w:t>לסעיף קטן (א)</w:t>
      </w:r>
    </w:p>
    <w:p w14:paraId="752C6365" w14:textId="77777777" w:rsidR="00AE1FFA" w:rsidRPr="001A0660" w:rsidRDefault="00AE1FFA" w:rsidP="00C053C9">
      <w:pPr>
        <w:pStyle w:val="Hesber1st"/>
        <w:rPr>
          <w:rtl/>
        </w:rPr>
      </w:pPr>
      <w:r w:rsidRPr="001A0660">
        <w:rPr>
          <w:rFonts w:hint="cs"/>
          <w:rtl/>
        </w:rPr>
        <w:t xml:space="preserve">מוצע שסעיף 62א כנוסחו לאחר תיקונו, בדבר חברות ארנק עסקיות, יחול החל מ-1 בינואר 2025. </w:t>
      </w:r>
    </w:p>
    <w:p w14:paraId="42EE0E81" w14:textId="77777777" w:rsidR="00AE1FFA" w:rsidRPr="001A0660" w:rsidRDefault="00AE1FFA" w:rsidP="00C053C9">
      <w:pPr>
        <w:pStyle w:val="Hesber1st"/>
        <w:rPr>
          <w:b/>
          <w:bCs/>
          <w:rtl/>
        </w:rPr>
      </w:pPr>
      <w:r w:rsidRPr="001A0660">
        <w:rPr>
          <w:rFonts w:hint="cs"/>
          <w:b/>
          <w:bCs/>
          <w:rtl/>
        </w:rPr>
        <w:t>לסעיף קטן (ב)</w:t>
      </w:r>
    </w:p>
    <w:p w14:paraId="41AF4B99" w14:textId="77777777" w:rsidR="004C72CC" w:rsidRPr="001A0660" w:rsidRDefault="00AE1FFA" w:rsidP="00C053C9">
      <w:pPr>
        <w:pStyle w:val="Hesber1st"/>
        <w:rPr>
          <w:rtl/>
        </w:rPr>
      </w:pPr>
      <w:bookmarkStart w:id="34" w:name="_Hlk178630354"/>
      <w:r w:rsidRPr="001A0660">
        <w:rPr>
          <w:rFonts w:hint="cs"/>
          <w:rtl/>
        </w:rPr>
        <w:t>מוצע שתחילתו של סימן ג', בפרק חמישי לחלק ד', המטפל בחברות החזקה</w:t>
      </w:r>
      <w:r w:rsidR="0023708F" w:rsidRPr="001A0660">
        <w:rPr>
          <w:rFonts w:hint="cs"/>
          <w:rtl/>
        </w:rPr>
        <w:t xml:space="preserve">, יהיה גם הוא בתחילת שנת 2025, ומובהר </w:t>
      </w:r>
      <w:r w:rsidR="00B465EB" w:rsidRPr="001A0660">
        <w:rPr>
          <w:rFonts w:hint="cs"/>
          <w:rtl/>
        </w:rPr>
        <w:t xml:space="preserve">בסעיף </w:t>
      </w:r>
      <w:r w:rsidR="0023708F" w:rsidRPr="001A0660">
        <w:rPr>
          <w:rFonts w:hint="cs"/>
          <w:rtl/>
        </w:rPr>
        <w:t xml:space="preserve">שמדובר בתחולה אקטיבית </w:t>
      </w:r>
      <w:r w:rsidR="006D5891" w:rsidRPr="001A0660">
        <w:rPr>
          <w:rFonts w:hint="cs"/>
          <w:rtl/>
        </w:rPr>
        <w:t>והסימן</w:t>
      </w:r>
      <w:r w:rsidR="0023708F" w:rsidRPr="001A0660">
        <w:rPr>
          <w:rFonts w:hint="cs"/>
          <w:rtl/>
        </w:rPr>
        <w:t xml:space="preserve"> יחול גם על רווחים קיימים שנצברו לפני יום התחילה.</w:t>
      </w:r>
      <w:r w:rsidR="006D5891" w:rsidRPr="001A0660">
        <w:rPr>
          <w:rFonts w:hint="cs"/>
          <w:rtl/>
        </w:rPr>
        <w:t xml:space="preserve"> </w:t>
      </w:r>
      <w:r w:rsidR="00B465EB" w:rsidRPr="001A0660">
        <w:rPr>
          <w:rFonts w:hint="cs"/>
          <w:rtl/>
        </w:rPr>
        <w:t>עם זאת</w:t>
      </w:r>
      <w:r w:rsidR="006D5891" w:rsidRPr="001A0660">
        <w:rPr>
          <w:rFonts w:hint="cs"/>
          <w:rtl/>
        </w:rPr>
        <w:t xml:space="preserve">, בשל המנגנון </w:t>
      </w:r>
      <w:r w:rsidR="00B465EB" w:rsidRPr="001A0660">
        <w:rPr>
          <w:rFonts w:hint="cs"/>
          <w:rtl/>
        </w:rPr>
        <w:t>הקבוע בסעיף</w:t>
      </w:r>
      <w:r w:rsidR="006D5891" w:rsidRPr="001A0660">
        <w:rPr>
          <w:rFonts w:hint="cs"/>
          <w:rtl/>
        </w:rPr>
        <w:t xml:space="preserve">, תהיה לחברה שנת מס מלאה שבה היא תוכל לחלק דיבידנד או להשתמש ברווחים לצרכים העסקיים שלה, </w:t>
      </w:r>
      <w:r w:rsidR="008C7E10" w:rsidRPr="001A0660">
        <w:rPr>
          <w:rFonts w:hint="cs"/>
          <w:rtl/>
        </w:rPr>
        <w:t>והמיסוי ייקבע בהתאם למאפייני החברה בתחילת שנת 2026</w:t>
      </w:r>
      <w:r w:rsidR="004C72CC" w:rsidRPr="001A0660">
        <w:rPr>
          <w:rFonts w:hint="cs"/>
          <w:rtl/>
        </w:rPr>
        <w:t xml:space="preserve">. כמו כן, לצורך מתן תקופה של התארגנות, מוצעת הוראת מעבר לגבי רווחים שנצברו לפני תחילת החוק כפי שיפורט להלן. </w:t>
      </w:r>
    </w:p>
    <w:bookmarkEnd w:id="34"/>
    <w:p w14:paraId="7CF3F329" w14:textId="77777777" w:rsidR="004C72CC" w:rsidRPr="001A0660" w:rsidRDefault="004C72CC" w:rsidP="00C053C9">
      <w:pPr>
        <w:pStyle w:val="Hesber1st"/>
        <w:rPr>
          <w:rtl/>
        </w:rPr>
      </w:pPr>
      <w:r w:rsidRPr="001A0660">
        <w:rPr>
          <w:rFonts w:hint="cs"/>
          <w:b/>
          <w:bCs/>
          <w:rtl/>
        </w:rPr>
        <w:t>לסעיף</w:t>
      </w:r>
      <w:r w:rsidRPr="001A0660">
        <w:rPr>
          <w:rFonts w:hint="cs"/>
          <w:rtl/>
        </w:rPr>
        <w:t xml:space="preserve"> 3</w:t>
      </w:r>
    </w:p>
    <w:p w14:paraId="35C47025" w14:textId="77777777" w:rsidR="00CB101F" w:rsidRPr="001A0660" w:rsidRDefault="00CB101F" w:rsidP="004C72CC">
      <w:pPr>
        <w:pStyle w:val="Hesber1st"/>
        <w:rPr>
          <w:b/>
          <w:bCs/>
          <w:rtl/>
        </w:rPr>
      </w:pPr>
      <w:r w:rsidRPr="001A0660">
        <w:rPr>
          <w:rFonts w:hint="cs"/>
          <w:b/>
          <w:bCs/>
          <w:rtl/>
        </w:rPr>
        <w:t>לסעיף קטן (א)</w:t>
      </w:r>
    </w:p>
    <w:p w14:paraId="4C0F05D8" w14:textId="77777777" w:rsidR="00CB101F" w:rsidRPr="001A0660" w:rsidRDefault="004C72CC" w:rsidP="004C72CC">
      <w:pPr>
        <w:pStyle w:val="Hesber1st"/>
        <w:rPr>
          <w:rtl/>
        </w:rPr>
      </w:pPr>
      <w:r w:rsidRPr="001A0660">
        <w:rPr>
          <w:rFonts w:hint="cs"/>
          <w:rtl/>
        </w:rPr>
        <w:t xml:space="preserve">לצורך הקלה על המעבר למשטר המס החדש, </w:t>
      </w:r>
      <w:r w:rsidR="008C7E10" w:rsidRPr="001A0660">
        <w:rPr>
          <w:rFonts w:hint="cs"/>
          <w:rtl/>
        </w:rPr>
        <w:t>ובכדי לאפשר לחברות להקטין את סכום</w:t>
      </w:r>
      <w:r w:rsidR="00CB101F" w:rsidRPr="001A0660">
        <w:rPr>
          <w:rFonts w:hint="cs"/>
          <w:rtl/>
        </w:rPr>
        <w:t xml:space="preserve"> הרווחים הלא מחולקים </w:t>
      </w:r>
      <w:r w:rsidR="008C7E10" w:rsidRPr="001A0660">
        <w:rPr>
          <w:rFonts w:hint="cs"/>
          <w:rtl/>
        </w:rPr>
        <w:t xml:space="preserve">שלהן </w:t>
      </w:r>
      <w:r w:rsidR="00CB101F" w:rsidRPr="001A0660">
        <w:rPr>
          <w:rFonts w:hint="cs"/>
          <w:rtl/>
        </w:rPr>
        <w:t xml:space="preserve">בצורה הדרגתית, מוצע לקבוע שבשנות המס 2025 עד 2030, לא תשולם תוספת מס בשנה שבה </w:t>
      </w:r>
      <w:r w:rsidR="00CB101F" w:rsidRPr="001A0660">
        <w:rPr>
          <w:rtl/>
        </w:rPr>
        <w:t>סכום הדיבידנדים שחילקה</w:t>
      </w:r>
      <w:r w:rsidR="00CB101F" w:rsidRPr="001A0660">
        <w:rPr>
          <w:rFonts w:hint="cs"/>
          <w:rtl/>
        </w:rPr>
        <w:t xml:space="preserve"> חברת המעטים</w:t>
      </w:r>
      <w:r w:rsidR="00CB101F" w:rsidRPr="001A0660">
        <w:rPr>
          <w:rtl/>
        </w:rPr>
        <w:t xml:space="preserve"> לבעלי מניותיה</w:t>
      </w:r>
      <w:r w:rsidR="00CB101F" w:rsidRPr="001A0660">
        <w:rPr>
          <w:rFonts w:hint="cs"/>
          <w:rtl/>
        </w:rPr>
        <w:t>,</w:t>
      </w:r>
      <w:r w:rsidR="00CB101F" w:rsidRPr="001A0660">
        <w:rPr>
          <w:rtl/>
        </w:rPr>
        <w:t xml:space="preserve"> למעט דיבידנד שלא נכלל בהכנסת מקבל הדיבידנד בשל הוראות סעיף 126(ב)</w:t>
      </w:r>
      <w:r w:rsidR="00CB101F" w:rsidRPr="001A0660">
        <w:rPr>
          <w:rFonts w:hint="cs"/>
          <w:rtl/>
        </w:rPr>
        <w:t xml:space="preserve">, עולה על 20% מסכום הרווחים העודפים של חברת המעטים. זאת במקום הכלל הרגיל אשר מצוי בסעיף 81ב(ב) המוצע </w:t>
      </w:r>
      <w:r w:rsidR="00CB2086" w:rsidRPr="001A0660">
        <w:rPr>
          <w:rFonts w:hint="cs"/>
          <w:rtl/>
        </w:rPr>
        <w:t>אשר דורש חלוקה של שיעורים הרבה יותר גבוהים.</w:t>
      </w:r>
    </w:p>
    <w:p w14:paraId="77601777" w14:textId="77777777" w:rsidR="004C72CC" w:rsidRPr="001A0660" w:rsidRDefault="00F87BEE" w:rsidP="004C72CC">
      <w:pPr>
        <w:pStyle w:val="Hesber1st"/>
        <w:rPr>
          <w:rtl/>
        </w:rPr>
      </w:pPr>
      <w:r w:rsidRPr="001A0660">
        <w:rPr>
          <w:rFonts w:hint="cs"/>
          <w:rtl/>
        </w:rPr>
        <w:t xml:space="preserve">בנוסף, </w:t>
      </w:r>
      <w:r w:rsidR="004C72CC" w:rsidRPr="001A0660">
        <w:rPr>
          <w:rFonts w:hint="cs"/>
          <w:rtl/>
        </w:rPr>
        <w:t>בכדי לתת מענה לצרכים הפיסקאליים הנוכחיים מוצע להקל בחלוקת דיבידנד בשנת 2025 בדרך של מתן פטור מתשלום המס החדש בשנות המס 2026-2029 כפונקציה של שיעור החלוקה מהרווחים הלא מחולק</w:t>
      </w:r>
      <w:r w:rsidR="008C7E10" w:rsidRPr="001A0660">
        <w:rPr>
          <w:rFonts w:hint="cs"/>
          <w:rtl/>
        </w:rPr>
        <w:t>ים</w:t>
      </w:r>
      <w:r w:rsidR="004C72CC" w:rsidRPr="001A0660">
        <w:rPr>
          <w:rFonts w:hint="cs"/>
          <w:rtl/>
        </w:rPr>
        <w:t xml:space="preserve"> שיחולקו בפועל בשנת המס 2025. </w:t>
      </w:r>
    </w:p>
    <w:p w14:paraId="3C7134EE" w14:textId="77777777" w:rsidR="004C72CC" w:rsidRPr="001A0660" w:rsidRDefault="004C72CC" w:rsidP="00873120">
      <w:pPr>
        <w:pStyle w:val="Hesber"/>
        <w:rPr>
          <w:rtl/>
        </w:rPr>
      </w:pPr>
      <w:r w:rsidRPr="001A0660">
        <w:rPr>
          <w:rFonts w:hint="cs"/>
          <w:rtl/>
        </w:rPr>
        <w:t>בהתאם למוצע, לאחר שחולק בשנת 2025 סכום השווה ל-20% מרווחי 2024</w:t>
      </w:r>
      <w:r w:rsidR="008C7E10" w:rsidRPr="001A0660">
        <w:rPr>
          <w:rFonts w:hint="cs"/>
          <w:rtl/>
        </w:rPr>
        <w:t xml:space="preserve"> (סכום של חלוקה אשר יקנה פטור מהמס בשנת 2025 לפי סעיף קטן (א)</w:t>
      </w:r>
      <w:r w:rsidR="00805A5C" w:rsidRPr="001A0660">
        <w:rPr>
          <w:rFonts w:hint="cs"/>
          <w:rtl/>
        </w:rPr>
        <w:t>)</w:t>
      </w:r>
      <w:r w:rsidRPr="001A0660">
        <w:rPr>
          <w:rFonts w:hint="cs"/>
          <w:rtl/>
        </w:rPr>
        <w:t xml:space="preserve">, על כל סכום נוסף שיחולק השווה ל-15% </w:t>
      </w:r>
      <w:r w:rsidR="00805A5C" w:rsidRPr="001A0660">
        <w:rPr>
          <w:rFonts w:hint="cs"/>
          <w:rtl/>
        </w:rPr>
        <w:t>מהרווחים העודפים</w:t>
      </w:r>
      <w:r w:rsidRPr="001A0660">
        <w:rPr>
          <w:rFonts w:hint="cs"/>
          <w:rtl/>
        </w:rPr>
        <w:t xml:space="preserve"> יתקבל פטור מהמס החדש </w:t>
      </w:r>
      <w:r w:rsidR="00805A5C" w:rsidRPr="001A0660">
        <w:rPr>
          <w:rFonts w:hint="cs"/>
          <w:rtl/>
        </w:rPr>
        <w:t xml:space="preserve">בשנת </w:t>
      </w:r>
      <w:r w:rsidRPr="001A0660">
        <w:rPr>
          <w:rFonts w:hint="cs"/>
          <w:rtl/>
        </w:rPr>
        <w:t xml:space="preserve">מס אחת </w:t>
      </w:r>
      <w:r w:rsidR="00805A5C" w:rsidRPr="001A0660">
        <w:rPr>
          <w:rFonts w:hint="cs"/>
          <w:rtl/>
        </w:rPr>
        <w:t xml:space="preserve">משנות </w:t>
      </w:r>
      <w:r w:rsidRPr="001A0660">
        <w:rPr>
          <w:rFonts w:hint="cs"/>
          <w:rtl/>
        </w:rPr>
        <w:t xml:space="preserve">המס העוקבות לשנת 2025. הפטור האמור יינתן לגבי </w:t>
      </w:r>
      <w:r w:rsidR="00805A5C" w:rsidRPr="001A0660">
        <w:rPr>
          <w:rFonts w:hint="cs"/>
          <w:rtl/>
        </w:rPr>
        <w:t>ה</w:t>
      </w:r>
      <w:r w:rsidRPr="001A0660">
        <w:rPr>
          <w:rFonts w:hint="cs"/>
          <w:rtl/>
        </w:rPr>
        <w:t>רווחי</w:t>
      </w:r>
      <w:r w:rsidR="00805A5C" w:rsidRPr="001A0660">
        <w:rPr>
          <w:rFonts w:hint="cs"/>
          <w:rtl/>
        </w:rPr>
        <w:t>ם שהיו בידי החברה ביום התחילה</w:t>
      </w:r>
      <w:r w:rsidRPr="001A0660">
        <w:rPr>
          <w:rFonts w:hint="cs"/>
          <w:rtl/>
        </w:rPr>
        <w:t xml:space="preserve"> בלבד ולא יינתן לרווחים שייצברו משנת 2025 והלאה. </w:t>
      </w:r>
    </w:p>
    <w:p w14:paraId="5E085C4F" w14:textId="77777777" w:rsidR="004C72CC" w:rsidRPr="001A0660" w:rsidRDefault="004C72CC" w:rsidP="00873120">
      <w:pPr>
        <w:pStyle w:val="Hesber"/>
        <w:rPr>
          <w:rtl/>
        </w:rPr>
      </w:pPr>
      <w:r w:rsidRPr="001A0660">
        <w:rPr>
          <w:rFonts w:hint="cs"/>
          <w:rtl/>
        </w:rPr>
        <w:t xml:space="preserve">כך לדוגמה, בחלוקה של סכום השווה ל-35% </w:t>
      </w:r>
      <w:r w:rsidR="00805A5C" w:rsidRPr="001A0660">
        <w:rPr>
          <w:rFonts w:hint="cs"/>
          <w:rtl/>
        </w:rPr>
        <w:t>מהרווחים העודפים</w:t>
      </w:r>
      <w:r w:rsidRPr="001A0660">
        <w:rPr>
          <w:rFonts w:hint="cs"/>
          <w:rtl/>
        </w:rPr>
        <w:t xml:space="preserve"> יתקבל פטור מהמס </w:t>
      </w:r>
      <w:r w:rsidR="00805A5C" w:rsidRPr="001A0660">
        <w:rPr>
          <w:rFonts w:hint="cs"/>
          <w:rtl/>
        </w:rPr>
        <w:t xml:space="preserve">החדש </w:t>
      </w:r>
      <w:r w:rsidRPr="001A0660">
        <w:rPr>
          <w:rFonts w:hint="cs"/>
          <w:rtl/>
        </w:rPr>
        <w:t xml:space="preserve">בשנת 2025, (בגין חלוקה של סכום השווה ל20%) ופטור מהמס </w:t>
      </w:r>
      <w:r w:rsidR="00805A5C" w:rsidRPr="001A0660">
        <w:rPr>
          <w:rFonts w:hint="cs"/>
          <w:rtl/>
        </w:rPr>
        <w:t xml:space="preserve">החדש </w:t>
      </w:r>
      <w:r w:rsidRPr="001A0660">
        <w:rPr>
          <w:rFonts w:hint="cs"/>
          <w:rtl/>
        </w:rPr>
        <w:t>בשנת 2026</w:t>
      </w:r>
      <w:r w:rsidR="00805A5C" w:rsidRPr="001A0660">
        <w:rPr>
          <w:rFonts w:hint="cs"/>
          <w:rtl/>
        </w:rPr>
        <w:t xml:space="preserve"> (בגין החלוקה של ה-15% העודפים)</w:t>
      </w:r>
      <w:r w:rsidRPr="001A0660">
        <w:rPr>
          <w:rFonts w:hint="cs"/>
          <w:rtl/>
        </w:rPr>
        <w:t>; בחלוקה של סכום השווה ל-50% יתקבל פטור בשנים</w:t>
      </w:r>
      <w:r w:rsidR="00805A5C" w:rsidRPr="001A0660">
        <w:rPr>
          <w:rFonts w:hint="cs"/>
          <w:rtl/>
        </w:rPr>
        <w:t xml:space="preserve"> 2025 עד 2027</w:t>
      </w:r>
      <w:r w:rsidRPr="001A0660">
        <w:rPr>
          <w:rFonts w:hint="cs"/>
          <w:rtl/>
        </w:rPr>
        <w:t xml:space="preserve">, וכן על זו הדרך.    </w:t>
      </w:r>
    </w:p>
    <w:p w14:paraId="01CA3857" w14:textId="77777777" w:rsidR="00101913" w:rsidRPr="001A0660" w:rsidRDefault="00101913" w:rsidP="00101913">
      <w:pPr>
        <w:pStyle w:val="Hesber1st"/>
        <w:tabs>
          <w:tab w:val="clear" w:pos="680"/>
        </w:tabs>
        <w:rPr>
          <w:b/>
          <w:bCs/>
          <w:rtl/>
        </w:rPr>
      </w:pPr>
      <w:r w:rsidRPr="001A0660">
        <w:rPr>
          <w:rFonts w:hint="cs"/>
          <w:b/>
          <w:bCs/>
          <w:rtl/>
        </w:rPr>
        <w:t>לסעיף 4</w:t>
      </w:r>
    </w:p>
    <w:p w14:paraId="45E01BD3" w14:textId="77777777" w:rsidR="00101913" w:rsidRPr="001A0660" w:rsidRDefault="00101913" w:rsidP="001A0660">
      <w:pPr>
        <w:pStyle w:val="Hesber1st"/>
        <w:tabs>
          <w:tab w:val="clear" w:pos="680"/>
        </w:tabs>
        <w:rPr>
          <w:rtl/>
        </w:rPr>
      </w:pPr>
      <w:r w:rsidRPr="001A0660">
        <w:rPr>
          <w:rFonts w:hint="cs"/>
          <w:rtl/>
        </w:rPr>
        <w:t xml:space="preserve">בחוק הביטוח הלאומי [נוסח משולב], התשנ"ה </w:t>
      </w:r>
      <w:r w:rsidRPr="001A0660">
        <w:rPr>
          <w:rtl/>
        </w:rPr>
        <w:t>–</w:t>
      </w:r>
      <w:r w:rsidRPr="001A0660">
        <w:rPr>
          <w:rFonts w:hint="cs"/>
          <w:rtl/>
        </w:rPr>
        <w:t xml:space="preserve"> 1995 נקבעו ההוראות לעניין חישוב הכנסות וגביית דמי הביטוח הלאומי מהכנסות אלו. בהתאמה, נקבע גם בחוק ביטוח בריאות ממלכתי, התשנ"ד-1994 חיובן של הכנסות החייבות בדמי ביטוח לאומי, בדמי ביטוח בריאות. </w:t>
      </w:r>
    </w:p>
    <w:p w14:paraId="41984CAA" w14:textId="77777777" w:rsidR="00101913" w:rsidRPr="001A0660" w:rsidRDefault="00101913" w:rsidP="00101913">
      <w:pPr>
        <w:pStyle w:val="Hesber"/>
        <w:rPr>
          <w:rtl/>
        </w:rPr>
      </w:pPr>
      <w:r w:rsidRPr="001A0660">
        <w:rPr>
          <w:rFonts w:hint="cs"/>
          <w:rtl/>
        </w:rPr>
        <w:t xml:space="preserve">המצב המתואר לעניין אי תשלומי מיסים ביחס להוראות הקבועות בפקודת מס הכנסה נכון גם כאשר המדובר בחיוב בדמי ביטוח. </w:t>
      </w:r>
    </w:p>
    <w:p w14:paraId="0AC1EC87" w14:textId="77777777" w:rsidR="00101913" w:rsidRPr="00101913" w:rsidRDefault="00101913" w:rsidP="00101913">
      <w:pPr>
        <w:pStyle w:val="Hesber"/>
        <w:rPr>
          <w:rtl/>
        </w:rPr>
      </w:pPr>
      <w:r w:rsidRPr="001A0660">
        <w:rPr>
          <w:rFonts w:hint="cs"/>
          <w:rtl/>
        </w:rPr>
        <w:t>ככלל, ההכנסה ממנה נגבים דמי ביטוח לאומי ודמי ביטוח בריאות מעובד או עובד עצמאי הינה בהתאמה לסיווגן בפקודת מס הכנסה. לפיכך, תיקון פקודת מס הכנסה הקובע סיווגן של הכנסות, משליך אף על החיוב בדמי ביטוח. יחד עם זאת, על מנת להבהיר את אופן סיווגן של ההכנסות מוצע לקבוע כי ההכנסות אשר מיוחסות בהתאם לסעיף 62א לפקודה ייחשבו כהכנסה כעובד עצמאי ויחולו על הכנסה זו כל ההוראות הקבועות בחוק הביטוח הלאומי על הכנסתו של עובד עצמאי.</w:t>
      </w:r>
      <w:r w:rsidRPr="00101913">
        <w:rPr>
          <w:rFonts w:hint="cs"/>
          <w:rtl/>
        </w:rPr>
        <w:t xml:space="preserve"> </w:t>
      </w:r>
    </w:p>
    <w:p w14:paraId="4C9BB78E" w14:textId="77777777" w:rsidR="00F61FB1" w:rsidRPr="001A0660" w:rsidRDefault="00F61FB1" w:rsidP="001A0660">
      <w:pPr>
        <w:pStyle w:val="Hesber1st"/>
        <w:tabs>
          <w:tab w:val="clear" w:pos="680"/>
        </w:tabs>
      </w:pPr>
    </w:p>
    <w:sectPr w:rsidR="00F61FB1" w:rsidRPr="001A0660" w:rsidSect="001F51EF">
      <w:pgSz w:w="11906" w:h="16838"/>
      <w:pgMar w:top="1701" w:right="1134" w:bottom="1417"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E151B" w14:textId="77777777" w:rsidR="00936D59" w:rsidRDefault="00936D59" w:rsidP="008F2BC2">
      <w:pPr>
        <w:spacing w:line="240" w:lineRule="auto"/>
      </w:pPr>
      <w:r>
        <w:separator/>
      </w:r>
    </w:p>
  </w:endnote>
  <w:endnote w:type="continuationSeparator" w:id="0">
    <w:p w14:paraId="31D520C1" w14:textId="77777777" w:rsidR="00936D59" w:rsidRDefault="00936D59" w:rsidP="008F2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88ACB" w14:textId="77777777" w:rsidR="00936D59" w:rsidRDefault="00936D59" w:rsidP="008F2BC2">
      <w:pPr>
        <w:spacing w:line="240" w:lineRule="auto"/>
        <w:ind w:left="0"/>
      </w:pPr>
      <w:r>
        <w:separator/>
      </w:r>
    </w:p>
  </w:footnote>
  <w:footnote w:type="continuationSeparator" w:id="0">
    <w:p w14:paraId="5AC71DB4" w14:textId="77777777" w:rsidR="00936D59" w:rsidRDefault="00936D59" w:rsidP="008F2BC2">
      <w:pPr>
        <w:spacing w:line="240" w:lineRule="auto"/>
      </w:pPr>
      <w:r>
        <w:continuationSeparator/>
      </w:r>
    </w:p>
  </w:footnote>
  <w:footnote w:id="1">
    <w:p w14:paraId="3B222C2F" w14:textId="77777777" w:rsidR="004D16F6" w:rsidRDefault="004D16F6">
      <w:pPr>
        <w:pStyle w:val="FootnoteText"/>
        <w:rPr>
          <w:rtl/>
        </w:rPr>
      </w:pPr>
      <w:r>
        <w:rPr>
          <w:rStyle w:val="FootnoteReference"/>
        </w:rPr>
        <w:footnoteRef/>
      </w:r>
      <w:r>
        <w:rPr>
          <w:rtl/>
        </w:rPr>
        <w:t xml:space="preserve"> </w:t>
      </w:r>
      <w:r>
        <w:rPr>
          <w:rFonts w:hint="cs"/>
          <w:rtl/>
        </w:rPr>
        <w:t>להשלמה</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F1EED"/>
    <w:multiLevelType w:val="hybridMultilevel"/>
    <w:tmpl w:val="8228B86A"/>
    <w:lvl w:ilvl="0" w:tplc="E8768C5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7713E"/>
    <w:multiLevelType w:val="hybridMultilevel"/>
    <w:tmpl w:val="72BE4FF0"/>
    <w:lvl w:ilvl="0" w:tplc="04090013">
      <w:start w:val="1"/>
      <w:numFmt w:val="hebrew1"/>
      <w:lvlText w:val="%1."/>
      <w:lvlJc w:val="center"/>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15:restartNumberingAfterBreak="0">
    <w:nsid w:val="098B44E5"/>
    <w:multiLevelType w:val="hybridMultilevel"/>
    <w:tmpl w:val="A05A0F78"/>
    <w:lvl w:ilvl="0" w:tplc="44A86ED4">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905A76"/>
    <w:multiLevelType w:val="multilevel"/>
    <w:tmpl w:val="BA1EB858"/>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1674695"/>
    <w:multiLevelType w:val="hybridMultilevel"/>
    <w:tmpl w:val="53881C68"/>
    <w:lvl w:ilvl="0" w:tplc="7E90F1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123CA2"/>
    <w:multiLevelType w:val="hybridMultilevel"/>
    <w:tmpl w:val="8D2A249C"/>
    <w:lvl w:ilvl="0" w:tplc="A9A232F4">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15:restartNumberingAfterBreak="0">
    <w:nsid w:val="187A411C"/>
    <w:multiLevelType w:val="hybridMultilevel"/>
    <w:tmpl w:val="224AF54C"/>
    <w:lvl w:ilvl="0" w:tplc="E1B2EED0">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F074B2"/>
    <w:multiLevelType w:val="hybridMultilevel"/>
    <w:tmpl w:val="43EC3D9E"/>
    <w:lvl w:ilvl="0" w:tplc="ECC6ED24">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B31CD9"/>
    <w:multiLevelType w:val="hybridMultilevel"/>
    <w:tmpl w:val="76E8455C"/>
    <w:lvl w:ilvl="0" w:tplc="0E12475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E443F6A"/>
    <w:multiLevelType w:val="hybridMultilevel"/>
    <w:tmpl w:val="1430CD2C"/>
    <w:lvl w:ilvl="0" w:tplc="79FC5570">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926732"/>
    <w:multiLevelType w:val="hybridMultilevel"/>
    <w:tmpl w:val="2AB604B0"/>
    <w:lvl w:ilvl="0" w:tplc="E1368672">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107F9F"/>
    <w:multiLevelType w:val="hybridMultilevel"/>
    <w:tmpl w:val="9F8AFD22"/>
    <w:lvl w:ilvl="0" w:tplc="3CB2FD20">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160B97"/>
    <w:multiLevelType w:val="hybridMultilevel"/>
    <w:tmpl w:val="3B80131A"/>
    <w:lvl w:ilvl="0" w:tplc="9C003B06">
      <w:start w:val="1"/>
      <w:numFmt w:val="hebrew1"/>
      <w:lvlText w:val="%1."/>
      <w:lvlJc w:val="left"/>
      <w:pPr>
        <w:ind w:left="720" w:hanging="360"/>
      </w:pPr>
      <w:rPr>
        <w:rFonts w:hint="default"/>
        <w:lang w:val="en-US"/>
      </w:rPr>
    </w:lvl>
    <w:lvl w:ilvl="1" w:tplc="097E96BA">
      <w:start w:val="1"/>
      <w:numFmt w:val="decimal"/>
      <w:lvlText w:val="%2."/>
      <w:lvlJc w:val="left"/>
      <w:pPr>
        <w:ind w:left="1440" w:hanging="360"/>
      </w:pPr>
      <w:rPr>
        <w:rFonts w:ascii="Calibri" w:hAnsi="Calibri" w:cs="Calibri" w:hint="default"/>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2F3B57"/>
    <w:multiLevelType w:val="hybridMultilevel"/>
    <w:tmpl w:val="6A8E5A70"/>
    <w:lvl w:ilvl="0" w:tplc="BCA22344">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D77239"/>
    <w:multiLevelType w:val="hybridMultilevel"/>
    <w:tmpl w:val="83DC1010"/>
    <w:lvl w:ilvl="0" w:tplc="E2EAD574">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E76CB4"/>
    <w:multiLevelType w:val="hybridMultilevel"/>
    <w:tmpl w:val="1F72C730"/>
    <w:lvl w:ilvl="0" w:tplc="703A0078">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901DA5"/>
    <w:multiLevelType w:val="hybridMultilevel"/>
    <w:tmpl w:val="FBFA380A"/>
    <w:lvl w:ilvl="0" w:tplc="064CF046">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1D25C9"/>
    <w:multiLevelType w:val="hybridMultilevel"/>
    <w:tmpl w:val="95E84D8A"/>
    <w:lvl w:ilvl="0" w:tplc="4648CCE8">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4C6351"/>
    <w:multiLevelType w:val="hybridMultilevel"/>
    <w:tmpl w:val="B02298E4"/>
    <w:lvl w:ilvl="0" w:tplc="595A5F60">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D25DA0"/>
    <w:multiLevelType w:val="hybridMultilevel"/>
    <w:tmpl w:val="37B80606"/>
    <w:lvl w:ilvl="0" w:tplc="DC2C404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FB6D47"/>
    <w:multiLevelType w:val="hybridMultilevel"/>
    <w:tmpl w:val="38962FDC"/>
    <w:lvl w:ilvl="0" w:tplc="117E96AA">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5254B6"/>
    <w:multiLevelType w:val="hybridMultilevel"/>
    <w:tmpl w:val="164EF56C"/>
    <w:lvl w:ilvl="0" w:tplc="E7C61E5E">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AB6A59"/>
    <w:multiLevelType w:val="hybridMultilevel"/>
    <w:tmpl w:val="5218B430"/>
    <w:lvl w:ilvl="0" w:tplc="5B7045F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F377C8"/>
    <w:multiLevelType w:val="hybridMultilevel"/>
    <w:tmpl w:val="10500B74"/>
    <w:lvl w:ilvl="0" w:tplc="7B1C8102">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FB7839"/>
    <w:multiLevelType w:val="hybridMultilevel"/>
    <w:tmpl w:val="E6281FF0"/>
    <w:lvl w:ilvl="0" w:tplc="876CE21A">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CF72FE"/>
    <w:multiLevelType w:val="hybridMultilevel"/>
    <w:tmpl w:val="A3905BB6"/>
    <w:lvl w:ilvl="0" w:tplc="A81A9924">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CA1450"/>
    <w:multiLevelType w:val="hybridMultilevel"/>
    <w:tmpl w:val="C7B61B32"/>
    <w:lvl w:ilvl="0" w:tplc="C116EC8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9502B2"/>
    <w:multiLevelType w:val="hybridMultilevel"/>
    <w:tmpl w:val="1848D904"/>
    <w:lvl w:ilvl="0" w:tplc="71229AE4">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5C2601"/>
    <w:multiLevelType w:val="hybridMultilevel"/>
    <w:tmpl w:val="5032F54E"/>
    <w:lvl w:ilvl="0" w:tplc="74E6FDF8">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B60E51"/>
    <w:multiLevelType w:val="hybridMultilevel"/>
    <w:tmpl w:val="BFDA95A0"/>
    <w:lvl w:ilvl="0" w:tplc="A1C8DFB4">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16B2A74"/>
    <w:multiLevelType w:val="multilevel"/>
    <w:tmpl w:val="B97427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55A2B35"/>
    <w:multiLevelType w:val="hybridMultilevel"/>
    <w:tmpl w:val="F61ADD04"/>
    <w:lvl w:ilvl="0" w:tplc="EFC26F30">
      <w:start w:val="1"/>
      <w:numFmt w:val="hebrew1"/>
      <w:pStyle w:val="Heading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5BD5453D"/>
    <w:multiLevelType w:val="hybridMultilevel"/>
    <w:tmpl w:val="725213FA"/>
    <w:lvl w:ilvl="0" w:tplc="B83C64E0">
      <w:start w:val="1"/>
      <w:numFmt w:val="decimal"/>
      <w:lvlRestart w:val="0"/>
      <w:lvlText w:val="(%1)"/>
      <w:lvlJc w:val="left"/>
      <w:pPr>
        <w:tabs>
          <w:tab w:val="num" w:pos="684"/>
        </w:tabs>
        <w:ind w:left="60" w:firstLine="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6" w15:restartNumberingAfterBreak="0">
    <w:nsid w:val="5D5A1325"/>
    <w:multiLevelType w:val="hybridMultilevel"/>
    <w:tmpl w:val="33C686D8"/>
    <w:lvl w:ilvl="0" w:tplc="20385CA6">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0A768E"/>
    <w:multiLevelType w:val="hybridMultilevel"/>
    <w:tmpl w:val="9ED493E0"/>
    <w:lvl w:ilvl="0" w:tplc="D72A25A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8" w15:restartNumberingAfterBreak="0">
    <w:nsid w:val="5F9D4513"/>
    <w:multiLevelType w:val="hybridMultilevel"/>
    <w:tmpl w:val="4966219C"/>
    <w:lvl w:ilvl="0" w:tplc="479A671A">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7042D"/>
    <w:multiLevelType w:val="hybridMultilevel"/>
    <w:tmpl w:val="C40474CE"/>
    <w:lvl w:ilvl="0" w:tplc="3CBA3C82">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5C7D04"/>
    <w:multiLevelType w:val="hybridMultilevel"/>
    <w:tmpl w:val="9C84DD10"/>
    <w:lvl w:ilvl="0" w:tplc="FD4021B6">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A55CE9"/>
    <w:multiLevelType w:val="hybridMultilevel"/>
    <w:tmpl w:val="1CB6F3D0"/>
    <w:lvl w:ilvl="0" w:tplc="D6FC24FA">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2B5E5F"/>
    <w:multiLevelType w:val="hybridMultilevel"/>
    <w:tmpl w:val="38B26410"/>
    <w:lvl w:ilvl="0" w:tplc="9732D152">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D03310"/>
    <w:multiLevelType w:val="hybridMultilevel"/>
    <w:tmpl w:val="CBA052E8"/>
    <w:lvl w:ilvl="0" w:tplc="0352CE56">
      <w:start w:val="1"/>
      <w:numFmt w:val="hebrew1"/>
      <w:lvlText w:val="%1."/>
      <w:lvlJc w:val="center"/>
      <w:pPr>
        <w:ind w:left="720" w:hanging="360"/>
      </w:pPr>
      <w:rPr>
        <w:lang w:val="en-US"/>
      </w:rPr>
    </w:lvl>
    <w:lvl w:ilvl="1" w:tplc="A86252AA">
      <w:start w:val="1"/>
      <w:numFmt w:val="lowerLetter"/>
      <w:lvlText w:val="%2."/>
      <w:lvlJc w:val="left"/>
      <w:pPr>
        <w:ind w:left="1440" w:hanging="360"/>
      </w:pPr>
    </w:lvl>
    <w:lvl w:ilvl="2" w:tplc="D6DA0782">
      <w:start w:val="1"/>
      <w:numFmt w:val="lowerRoman"/>
      <w:lvlText w:val="%3."/>
      <w:lvlJc w:val="right"/>
      <w:pPr>
        <w:ind w:left="2160" w:hanging="180"/>
      </w:pPr>
    </w:lvl>
    <w:lvl w:ilvl="3" w:tplc="759429D6">
      <w:start w:val="1"/>
      <w:numFmt w:val="decimal"/>
      <w:lvlText w:val="%4."/>
      <w:lvlJc w:val="left"/>
      <w:pPr>
        <w:ind w:left="2880" w:hanging="360"/>
      </w:pPr>
    </w:lvl>
    <w:lvl w:ilvl="4" w:tplc="50B819B4">
      <w:start w:val="1"/>
      <w:numFmt w:val="lowerLetter"/>
      <w:lvlText w:val="%5."/>
      <w:lvlJc w:val="left"/>
      <w:pPr>
        <w:ind w:left="3600" w:hanging="360"/>
      </w:pPr>
    </w:lvl>
    <w:lvl w:ilvl="5" w:tplc="75407D98">
      <w:start w:val="1"/>
      <w:numFmt w:val="lowerRoman"/>
      <w:lvlText w:val="%6."/>
      <w:lvlJc w:val="right"/>
      <w:pPr>
        <w:ind w:left="4320" w:hanging="180"/>
      </w:pPr>
    </w:lvl>
    <w:lvl w:ilvl="6" w:tplc="955EC08A">
      <w:start w:val="1"/>
      <w:numFmt w:val="decimal"/>
      <w:lvlText w:val="%7."/>
      <w:lvlJc w:val="left"/>
      <w:pPr>
        <w:ind w:left="5040" w:hanging="360"/>
      </w:pPr>
    </w:lvl>
    <w:lvl w:ilvl="7" w:tplc="1ACA12AE">
      <w:start w:val="1"/>
      <w:numFmt w:val="lowerLetter"/>
      <w:lvlText w:val="%8."/>
      <w:lvlJc w:val="left"/>
      <w:pPr>
        <w:ind w:left="5760" w:hanging="360"/>
      </w:pPr>
    </w:lvl>
    <w:lvl w:ilvl="8" w:tplc="EA1AA4AC">
      <w:start w:val="1"/>
      <w:numFmt w:val="lowerRoman"/>
      <w:lvlText w:val="%9."/>
      <w:lvlJc w:val="right"/>
      <w:pPr>
        <w:ind w:left="6480" w:hanging="180"/>
      </w:pPr>
    </w:lvl>
  </w:abstractNum>
  <w:abstractNum w:abstractNumId="54" w15:restartNumberingAfterBreak="0">
    <w:nsid w:val="74C9274A"/>
    <w:multiLevelType w:val="hybridMultilevel"/>
    <w:tmpl w:val="05F62EEA"/>
    <w:lvl w:ilvl="0" w:tplc="C1B606F2">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9BA2AED"/>
    <w:multiLevelType w:val="hybridMultilevel"/>
    <w:tmpl w:val="CBA052E8"/>
    <w:lvl w:ilvl="0" w:tplc="0352CE56">
      <w:start w:val="1"/>
      <w:numFmt w:val="hebrew1"/>
      <w:lvlText w:val="%1."/>
      <w:lvlJc w:val="center"/>
      <w:pPr>
        <w:ind w:left="720" w:hanging="360"/>
      </w:pPr>
      <w:rPr>
        <w:lang w:val="en-US"/>
      </w:rPr>
    </w:lvl>
    <w:lvl w:ilvl="1" w:tplc="A86252AA">
      <w:start w:val="1"/>
      <w:numFmt w:val="lowerLetter"/>
      <w:lvlText w:val="%2."/>
      <w:lvlJc w:val="left"/>
      <w:pPr>
        <w:ind w:left="1440" w:hanging="360"/>
      </w:pPr>
    </w:lvl>
    <w:lvl w:ilvl="2" w:tplc="D6DA0782">
      <w:start w:val="1"/>
      <w:numFmt w:val="lowerRoman"/>
      <w:lvlText w:val="%3."/>
      <w:lvlJc w:val="right"/>
      <w:pPr>
        <w:ind w:left="2160" w:hanging="180"/>
      </w:pPr>
    </w:lvl>
    <w:lvl w:ilvl="3" w:tplc="759429D6">
      <w:start w:val="1"/>
      <w:numFmt w:val="decimal"/>
      <w:lvlText w:val="%4."/>
      <w:lvlJc w:val="left"/>
      <w:pPr>
        <w:ind w:left="2880" w:hanging="360"/>
      </w:pPr>
    </w:lvl>
    <w:lvl w:ilvl="4" w:tplc="50B819B4">
      <w:start w:val="1"/>
      <w:numFmt w:val="lowerLetter"/>
      <w:lvlText w:val="%5."/>
      <w:lvlJc w:val="left"/>
      <w:pPr>
        <w:ind w:left="3600" w:hanging="360"/>
      </w:pPr>
    </w:lvl>
    <w:lvl w:ilvl="5" w:tplc="75407D98">
      <w:start w:val="1"/>
      <w:numFmt w:val="lowerRoman"/>
      <w:lvlText w:val="%6."/>
      <w:lvlJc w:val="right"/>
      <w:pPr>
        <w:ind w:left="4320" w:hanging="180"/>
      </w:pPr>
    </w:lvl>
    <w:lvl w:ilvl="6" w:tplc="955EC08A">
      <w:start w:val="1"/>
      <w:numFmt w:val="decimal"/>
      <w:lvlText w:val="%7."/>
      <w:lvlJc w:val="left"/>
      <w:pPr>
        <w:ind w:left="5040" w:hanging="360"/>
      </w:pPr>
    </w:lvl>
    <w:lvl w:ilvl="7" w:tplc="1ACA12AE">
      <w:start w:val="1"/>
      <w:numFmt w:val="lowerLetter"/>
      <w:lvlText w:val="%8."/>
      <w:lvlJc w:val="left"/>
      <w:pPr>
        <w:ind w:left="5760" w:hanging="360"/>
      </w:pPr>
    </w:lvl>
    <w:lvl w:ilvl="8" w:tplc="EA1AA4AC">
      <w:start w:val="1"/>
      <w:numFmt w:val="lowerRoman"/>
      <w:lvlText w:val="%9."/>
      <w:lvlJc w:val="right"/>
      <w:pPr>
        <w:ind w:left="6480" w:hanging="180"/>
      </w:pPr>
    </w:lvl>
  </w:abstractNum>
  <w:abstractNum w:abstractNumId="58" w15:restartNumberingAfterBreak="0">
    <w:nsid w:val="7BC800BC"/>
    <w:multiLevelType w:val="hybridMultilevel"/>
    <w:tmpl w:val="D5EA02BE"/>
    <w:lvl w:ilvl="0" w:tplc="05EC92CA">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02307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8299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2547835">
    <w:abstractNumId w:val="0"/>
  </w:num>
  <w:num w:numId="4" w16cid:durableId="1422333902">
    <w:abstractNumId w:val="55"/>
  </w:num>
  <w:num w:numId="5" w16cid:durableId="1876767851">
    <w:abstractNumId w:val="20"/>
  </w:num>
  <w:num w:numId="6" w16cid:durableId="1417634403">
    <w:abstractNumId w:val="56"/>
  </w:num>
  <w:num w:numId="7" w16cid:durableId="923686180">
    <w:abstractNumId w:val="8"/>
  </w:num>
  <w:num w:numId="8" w16cid:durableId="578363840">
    <w:abstractNumId w:val="3"/>
  </w:num>
  <w:num w:numId="9" w16cid:durableId="1035426193">
    <w:abstractNumId w:val="2"/>
  </w:num>
  <w:num w:numId="10" w16cid:durableId="1836678982">
    <w:abstractNumId w:val="1"/>
  </w:num>
  <w:num w:numId="11" w16cid:durableId="915017469">
    <w:abstractNumId w:val="9"/>
  </w:num>
  <w:num w:numId="12" w16cid:durableId="417869037">
    <w:abstractNumId w:val="7"/>
  </w:num>
  <w:num w:numId="13" w16cid:durableId="516844141">
    <w:abstractNumId w:val="6"/>
  </w:num>
  <w:num w:numId="14" w16cid:durableId="1053969331">
    <w:abstractNumId w:val="5"/>
  </w:num>
  <w:num w:numId="15" w16cid:durableId="1554926477">
    <w:abstractNumId w:val="4"/>
  </w:num>
  <w:num w:numId="16" w16cid:durableId="343629836">
    <w:abstractNumId w:val="43"/>
  </w:num>
  <w:num w:numId="17" w16cid:durableId="505362495">
    <w:abstractNumId w:val="43"/>
    <w:lvlOverride w:ilvl="0">
      <w:startOverride w:val="1"/>
    </w:lvlOverride>
  </w:num>
  <w:num w:numId="18" w16cid:durableId="1230387965">
    <w:abstractNumId w:val="16"/>
  </w:num>
  <w:num w:numId="19" w16cid:durableId="33896939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8965265">
    <w:abstractNumId w:val="44"/>
  </w:num>
  <w:num w:numId="21" w16cid:durableId="1411541045">
    <w:abstractNumId w:val="19"/>
  </w:num>
  <w:num w:numId="22" w16cid:durableId="1828471057">
    <w:abstractNumId w:val="36"/>
  </w:num>
  <w:num w:numId="23" w16cid:durableId="194198900">
    <w:abstractNumId w:val="23"/>
  </w:num>
  <w:num w:numId="24" w16cid:durableId="782386685">
    <w:abstractNumId w:val="52"/>
  </w:num>
  <w:num w:numId="25" w16cid:durableId="713427814">
    <w:abstractNumId w:val="29"/>
  </w:num>
  <w:num w:numId="26" w16cid:durableId="793909730">
    <w:abstractNumId w:val="45"/>
  </w:num>
  <w:num w:numId="27" w16cid:durableId="1843622198">
    <w:abstractNumId w:val="22"/>
  </w:num>
  <w:num w:numId="28" w16cid:durableId="1429348336">
    <w:abstractNumId w:val="34"/>
  </w:num>
  <w:num w:numId="29" w16cid:durableId="1522746162">
    <w:abstractNumId w:val="21"/>
  </w:num>
  <w:num w:numId="30" w16cid:durableId="1361708416">
    <w:abstractNumId w:val="28"/>
  </w:num>
  <w:num w:numId="31" w16cid:durableId="309946620">
    <w:abstractNumId w:val="15"/>
  </w:num>
  <w:num w:numId="32" w16cid:durableId="1952858288">
    <w:abstractNumId w:val="12"/>
  </w:num>
  <w:num w:numId="33" w16cid:durableId="1501118679">
    <w:abstractNumId w:val="37"/>
  </w:num>
  <w:num w:numId="34" w16cid:durableId="1618638888">
    <w:abstractNumId w:val="25"/>
  </w:num>
  <w:num w:numId="35" w16cid:durableId="1942836689">
    <w:abstractNumId w:val="35"/>
  </w:num>
  <w:num w:numId="36" w16cid:durableId="1073429618">
    <w:abstractNumId w:val="10"/>
  </w:num>
  <w:num w:numId="37" w16cid:durableId="793792849">
    <w:abstractNumId w:val="30"/>
  </w:num>
  <w:num w:numId="38" w16cid:durableId="735324729">
    <w:abstractNumId w:val="41"/>
  </w:num>
  <w:num w:numId="39" w16cid:durableId="821197704">
    <w:abstractNumId w:val="49"/>
  </w:num>
  <w:num w:numId="40" w16cid:durableId="1422600956">
    <w:abstractNumId w:val="33"/>
  </w:num>
  <w:num w:numId="41" w16cid:durableId="902062657">
    <w:abstractNumId w:val="46"/>
  </w:num>
  <w:num w:numId="42" w16cid:durableId="687758572">
    <w:abstractNumId w:val="58"/>
  </w:num>
  <w:num w:numId="43" w16cid:durableId="1397513380">
    <w:abstractNumId w:val="32"/>
  </w:num>
  <w:num w:numId="44" w16cid:durableId="1747461607">
    <w:abstractNumId w:val="17"/>
  </w:num>
  <w:num w:numId="45" w16cid:durableId="1440026417">
    <w:abstractNumId w:val="51"/>
  </w:num>
  <w:num w:numId="46" w16cid:durableId="713042811">
    <w:abstractNumId w:val="31"/>
  </w:num>
  <w:num w:numId="47" w16cid:durableId="433404585">
    <w:abstractNumId w:val="11"/>
  </w:num>
  <w:num w:numId="48" w16cid:durableId="1966620437">
    <w:abstractNumId w:val="27"/>
  </w:num>
  <w:num w:numId="49" w16cid:durableId="1110856078">
    <w:abstractNumId w:val="13"/>
  </w:num>
  <w:num w:numId="50" w16cid:durableId="905148629">
    <w:abstractNumId w:val="42"/>
  </w:num>
  <w:num w:numId="51" w16cid:durableId="2087796201">
    <w:abstractNumId w:val="24"/>
  </w:num>
  <w:num w:numId="52" w16cid:durableId="1042630031">
    <w:abstractNumId w:val="47"/>
  </w:num>
  <w:num w:numId="53" w16cid:durableId="1616904980">
    <w:abstractNumId w:val="40"/>
  </w:num>
  <w:num w:numId="54" w16cid:durableId="121924229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5641400">
    <w:abstractNumId w:val="53"/>
  </w:num>
  <w:num w:numId="56" w16cid:durableId="937565600">
    <w:abstractNumId w:val="57"/>
  </w:num>
  <w:num w:numId="57" w16cid:durableId="481234394">
    <w:abstractNumId w:val="18"/>
  </w:num>
  <w:num w:numId="58" w16cid:durableId="1024551459">
    <w:abstractNumId w:val="50"/>
  </w:num>
  <w:num w:numId="59" w16cid:durableId="1340044140">
    <w:abstractNumId w:val="39"/>
  </w:num>
  <w:num w:numId="60" w16cid:durableId="1211648025">
    <w:abstractNumId w:val="14"/>
  </w:num>
  <w:num w:numId="61" w16cid:durableId="1316492050">
    <w:abstractNumId w:val="26"/>
  </w:num>
  <w:num w:numId="62" w16cid:durableId="1125074610">
    <w:abstractNumId w:val="38"/>
  </w:num>
  <w:num w:numId="63" w16cid:durableId="410395247">
    <w:abstractNumId w:val="48"/>
  </w:num>
  <w:num w:numId="64" w16cid:durableId="1930505218">
    <w:abstractNumId w:val="5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EF"/>
    <w:rsid w:val="000004E6"/>
    <w:rsid w:val="00031822"/>
    <w:rsid w:val="000372CA"/>
    <w:rsid w:val="00047FEE"/>
    <w:rsid w:val="00052C58"/>
    <w:rsid w:val="00070777"/>
    <w:rsid w:val="00070FC2"/>
    <w:rsid w:val="00082473"/>
    <w:rsid w:val="000B05D6"/>
    <w:rsid w:val="000C0295"/>
    <w:rsid w:val="000C3AFB"/>
    <w:rsid w:val="000D42BA"/>
    <w:rsid w:val="000E21F1"/>
    <w:rsid w:val="000E39CE"/>
    <w:rsid w:val="00100984"/>
    <w:rsid w:val="00101913"/>
    <w:rsid w:val="00110BAD"/>
    <w:rsid w:val="001333A8"/>
    <w:rsid w:val="00145C0D"/>
    <w:rsid w:val="00147959"/>
    <w:rsid w:val="00161797"/>
    <w:rsid w:val="00166C74"/>
    <w:rsid w:val="001705BB"/>
    <w:rsid w:val="00197F2C"/>
    <w:rsid w:val="001A0660"/>
    <w:rsid w:val="001C45FA"/>
    <w:rsid w:val="001F1FAC"/>
    <w:rsid w:val="001F51EF"/>
    <w:rsid w:val="001F5AED"/>
    <w:rsid w:val="0023247C"/>
    <w:rsid w:val="0023708F"/>
    <w:rsid w:val="002802CA"/>
    <w:rsid w:val="002A35D2"/>
    <w:rsid w:val="002B0CD4"/>
    <w:rsid w:val="002B67F9"/>
    <w:rsid w:val="002D6590"/>
    <w:rsid w:val="002D74C3"/>
    <w:rsid w:val="002E16B2"/>
    <w:rsid w:val="002E47E7"/>
    <w:rsid w:val="002F24DD"/>
    <w:rsid w:val="002F441F"/>
    <w:rsid w:val="002F7673"/>
    <w:rsid w:val="00322522"/>
    <w:rsid w:val="00327CD0"/>
    <w:rsid w:val="00333E4B"/>
    <w:rsid w:val="0034581E"/>
    <w:rsid w:val="00355FB1"/>
    <w:rsid w:val="00357C49"/>
    <w:rsid w:val="00365F7F"/>
    <w:rsid w:val="00371522"/>
    <w:rsid w:val="00384FBA"/>
    <w:rsid w:val="0039711A"/>
    <w:rsid w:val="003971DB"/>
    <w:rsid w:val="003C0AB5"/>
    <w:rsid w:val="00405D59"/>
    <w:rsid w:val="00411D89"/>
    <w:rsid w:val="00423B8B"/>
    <w:rsid w:val="00462E33"/>
    <w:rsid w:val="00464C80"/>
    <w:rsid w:val="00467DED"/>
    <w:rsid w:val="00475A49"/>
    <w:rsid w:val="00481706"/>
    <w:rsid w:val="00493F3F"/>
    <w:rsid w:val="004A2EBF"/>
    <w:rsid w:val="004B66B7"/>
    <w:rsid w:val="004C016E"/>
    <w:rsid w:val="004C5C3D"/>
    <w:rsid w:val="004C6DFB"/>
    <w:rsid w:val="004C72CC"/>
    <w:rsid w:val="004D16F6"/>
    <w:rsid w:val="004E717B"/>
    <w:rsid w:val="00503818"/>
    <w:rsid w:val="005059E9"/>
    <w:rsid w:val="005103B8"/>
    <w:rsid w:val="00534F3D"/>
    <w:rsid w:val="00577A16"/>
    <w:rsid w:val="005A2B2A"/>
    <w:rsid w:val="005B22B8"/>
    <w:rsid w:val="005B2868"/>
    <w:rsid w:val="005D6FD3"/>
    <w:rsid w:val="005E5F28"/>
    <w:rsid w:val="0062468A"/>
    <w:rsid w:val="00640561"/>
    <w:rsid w:val="00643B88"/>
    <w:rsid w:val="00656686"/>
    <w:rsid w:val="006617D0"/>
    <w:rsid w:val="00662CC1"/>
    <w:rsid w:val="00664D81"/>
    <w:rsid w:val="00667439"/>
    <w:rsid w:val="00670698"/>
    <w:rsid w:val="00681413"/>
    <w:rsid w:val="00694401"/>
    <w:rsid w:val="006D5891"/>
    <w:rsid w:val="006D60A1"/>
    <w:rsid w:val="006D6CDA"/>
    <w:rsid w:val="006F6B26"/>
    <w:rsid w:val="0071460E"/>
    <w:rsid w:val="007147F0"/>
    <w:rsid w:val="00731078"/>
    <w:rsid w:val="0074588A"/>
    <w:rsid w:val="00781EA8"/>
    <w:rsid w:val="007B3CDD"/>
    <w:rsid w:val="00805A5C"/>
    <w:rsid w:val="00864636"/>
    <w:rsid w:val="00873120"/>
    <w:rsid w:val="00882C7A"/>
    <w:rsid w:val="00885CCB"/>
    <w:rsid w:val="00896490"/>
    <w:rsid w:val="008B0C92"/>
    <w:rsid w:val="008B5639"/>
    <w:rsid w:val="008B7885"/>
    <w:rsid w:val="008C0CCC"/>
    <w:rsid w:val="008C21E7"/>
    <w:rsid w:val="008C7E10"/>
    <w:rsid w:val="008D5D04"/>
    <w:rsid w:val="008D76B3"/>
    <w:rsid w:val="008F2BC2"/>
    <w:rsid w:val="009028F7"/>
    <w:rsid w:val="00920811"/>
    <w:rsid w:val="00921703"/>
    <w:rsid w:val="0093015C"/>
    <w:rsid w:val="00936D59"/>
    <w:rsid w:val="00937423"/>
    <w:rsid w:val="009400A3"/>
    <w:rsid w:val="00941ACA"/>
    <w:rsid w:val="0096066C"/>
    <w:rsid w:val="0097258C"/>
    <w:rsid w:val="00975121"/>
    <w:rsid w:val="009851A0"/>
    <w:rsid w:val="009951FC"/>
    <w:rsid w:val="009A0CEA"/>
    <w:rsid w:val="009A670C"/>
    <w:rsid w:val="009C39CC"/>
    <w:rsid w:val="009D09E4"/>
    <w:rsid w:val="009F40E3"/>
    <w:rsid w:val="00A22161"/>
    <w:rsid w:val="00A24D62"/>
    <w:rsid w:val="00A351C2"/>
    <w:rsid w:val="00A3596B"/>
    <w:rsid w:val="00A82A87"/>
    <w:rsid w:val="00A90164"/>
    <w:rsid w:val="00AA0A2C"/>
    <w:rsid w:val="00AA60DF"/>
    <w:rsid w:val="00AB5D96"/>
    <w:rsid w:val="00AB6AD0"/>
    <w:rsid w:val="00AC658A"/>
    <w:rsid w:val="00AE1FFA"/>
    <w:rsid w:val="00AE66E6"/>
    <w:rsid w:val="00AF3E88"/>
    <w:rsid w:val="00AF4C2C"/>
    <w:rsid w:val="00AF59F3"/>
    <w:rsid w:val="00B26EF9"/>
    <w:rsid w:val="00B31CA9"/>
    <w:rsid w:val="00B4272B"/>
    <w:rsid w:val="00B465EB"/>
    <w:rsid w:val="00B5393E"/>
    <w:rsid w:val="00B63E90"/>
    <w:rsid w:val="00B659CD"/>
    <w:rsid w:val="00B74A3E"/>
    <w:rsid w:val="00B8162D"/>
    <w:rsid w:val="00B8232B"/>
    <w:rsid w:val="00B944FC"/>
    <w:rsid w:val="00BA6E6C"/>
    <w:rsid w:val="00BB676E"/>
    <w:rsid w:val="00BB71BC"/>
    <w:rsid w:val="00BC1218"/>
    <w:rsid w:val="00BD3634"/>
    <w:rsid w:val="00BE1351"/>
    <w:rsid w:val="00BE42CF"/>
    <w:rsid w:val="00C053C9"/>
    <w:rsid w:val="00C3721C"/>
    <w:rsid w:val="00C37299"/>
    <w:rsid w:val="00C45DA0"/>
    <w:rsid w:val="00C5352F"/>
    <w:rsid w:val="00C56E5E"/>
    <w:rsid w:val="00C75AA3"/>
    <w:rsid w:val="00C9048E"/>
    <w:rsid w:val="00C91401"/>
    <w:rsid w:val="00CA5B93"/>
    <w:rsid w:val="00CA7A15"/>
    <w:rsid w:val="00CB101F"/>
    <w:rsid w:val="00CB2086"/>
    <w:rsid w:val="00CB48FC"/>
    <w:rsid w:val="00CB6629"/>
    <w:rsid w:val="00CC552C"/>
    <w:rsid w:val="00CE31CF"/>
    <w:rsid w:val="00CF5115"/>
    <w:rsid w:val="00D05B34"/>
    <w:rsid w:val="00D118D9"/>
    <w:rsid w:val="00D143F8"/>
    <w:rsid w:val="00D27CA7"/>
    <w:rsid w:val="00D36340"/>
    <w:rsid w:val="00D43ADA"/>
    <w:rsid w:val="00D632A6"/>
    <w:rsid w:val="00D64E76"/>
    <w:rsid w:val="00D70711"/>
    <w:rsid w:val="00D817B1"/>
    <w:rsid w:val="00D8327C"/>
    <w:rsid w:val="00DA6AFF"/>
    <w:rsid w:val="00DD622C"/>
    <w:rsid w:val="00DE781F"/>
    <w:rsid w:val="00E34FFF"/>
    <w:rsid w:val="00E64096"/>
    <w:rsid w:val="00E76995"/>
    <w:rsid w:val="00E94A94"/>
    <w:rsid w:val="00EA1B73"/>
    <w:rsid w:val="00EA4D67"/>
    <w:rsid w:val="00EC23D7"/>
    <w:rsid w:val="00EE0BB0"/>
    <w:rsid w:val="00F4614F"/>
    <w:rsid w:val="00F61FB1"/>
    <w:rsid w:val="00F738EE"/>
    <w:rsid w:val="00F77667"/>
    <w:rsid w:val="00F81F85"/>
    <w:rsid w:val="00F87BEE"/>
    <w:rsid w:val="00FC0658"/>
    <w:rsid w:val="00FC4C58"/>
    <w:rsid w:val="00FD6302"/>
    <w:rsid w:val="00FF353C"/>
    <w:rsid w:val="00FF46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A8FC"/>
  <w15:chartTrackingRefBased/>
  <w15:docId w15:val="{B3F1A4A3-13BF-4A0A-9C7E-ECEE6A567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D67"/>
    <w:pPr>
      <w:widowControl w:val="0"/>
      <w:bidi/>
      <w:spacing w:after="0" w:line="360" w:lineRule="auto"/>
      <w:ind w:left="340"/>
      <w:contextualSpacing/>
      <w:jc w:val="both"/>
    </w:pPr>
    <w:rPr>
      <w:rFonts w:ascii="David" w:hAnsi="David" w:cs="David"/>
      <w:sz w:val="24"/>
      <w:szCs w:val="24"/>
    </w:rPr>
  </w:style>
  <w:style w:type="paragraph" w:styleId="Heading1">
    <w:name w:val="heading 1"/>
    <w:basedOn w:val="Normal"/>
    <w:next w:val="Normal"/>
    <w:link w:val="Heading1Char"/>
    <w:uiPriority w:val="9"/>
    <w:qFormat/>
    <w:rsid w:val="00EA4D67"/>
    <w:pPr>
      <w:keepNext/>
      <w:keepLines/>
      <w:spacing w:before="240"/>
      <w:jc w:val="center"/>
      <w:outlineLvl w:val="0"/>
    </w:pPr>
    <w:rPr>
      <w:rFonts w:asciiTheme="majorHAnsi" w:eastAsiaTheme="majorEastAsia" w:hAnsiTheme="majorHAnsi"/>
      <w:bCs/>
      <w:sz w:val="32"/>
      <w:szCs w:val="36"/>
    </w:rPr>
  </w:style>
  <w:style w:type="paragraph" w:styleId="Heading2">
    <w:name w:val="heading 2"/>
    <w:basedOn w:val="Normal"/>
    <w:next w:val="Normal"/>
    <w:link w:val="Heading2Char"/>
    <w:unhideWhenUsed/>
    <w:qFormat/>
    <w:rsid w:val="00EA4D67"/>
    <w:pPr>
      <w:ind w:left="0"/>
      <w:jc w:val="left"/>
      <w:outlineLvl w:val="1"/>
    </w:pPr>
    <w:rPr>
      <w:rFonts w:asciiTheme="majorHAnsi" w:eastAsiaTheme="majorEastAsia" w:hAnsiTheme="majorHAnsi"/>
      <w:bCs/>
      <w:sz w:val="26"/>
      <w:szCs w:val="36"/>
      <w:u w:val="single"/>
    </w:rPr>
  </w:style>
  <w:style w:type="paragraph" w:styleId="Heading3">
    <w:name w:val="heading 3"/>
    <w:basedOn w:val="Normal"/>
    <w:next w:val="Normal"/>
    <w:link w:val="Heading3Char"/>
    <w:unhideWhenUsed/>
    <w:qFormat/>
    <w:rsid w:val="00EA4D67"/>
    <w:pPr>
      <w:spacing w:before="40"/>
      <w:ind w:left="0"/>
      <w:jc w:val="left"/>
      <w:outlineLvl w:val="2"/>
    </w:pPr>
    <w:rPr>
      <w:rFonts w:asciiTheme="majorHAnsi" w:eastAsiaTheme="majorEastAsia" w:hAnsiTheme="majorHAnsi"/>
      <w:szCs w:val="28"/>
      <w:u w:val="double"/>
    </w:rPr>
  </w:style>
  <w:style w:type="paragraph" w:styleId="Heading4">
    <w:name w:val="heading 4"/>
    <w:basedOn w:val="Normal"/>
    <w:next w:val="Normal"/>
    <w:link w:val="Heading4Char"/>
    <w:uiPriority w:val="9"/>
    <w:unhideWhenUsed/>
    <w:qFormat/>
    <w:rsid w:val="00EA4D67"/>
    <w:pPr>
      <w:numPr>
        <w:numId w:val="1"/>
      </w:numPr>
      <w:spacing w:before="40" w:after="120"/>
      <w:outlineLvl w:val="3"/>
    </w:pPr>
    <w:rPr>
      <w:b/>
      <w:bCs/>
      <w:color w:val="000000" w:themeColor="text1"/>
      <w:szCs w:val="28"/>
    </w:rPr>
  </w:style>
  <w:style w:type="paragraph" w:styleId="Heading5">
    <w:name w:val="heading 5"/>
    <w:basedOn w:val="Normal"/>
    <w:next w:val="Normal"/>
    <w:link w:val="Heading5Char"/>
    <w:uiPriority w:val="9"/>
    <w:unhideWhenUsed/>
    <w:qFormat/>
    <w:rsid w:val="00EA4D67"/>
    <w:pPr>
      <w:spacing w:line="259" w:lineRule="auto"/>
      <w:outlineLvl w:val="4"/>
    </w:pPr>
    <w:rPr>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D67"/>
    <w:rPr>
      <w:rFonts w:asciiTheme="majorHAnsi" w:eastAsiaTheme="majorEastAsia" w:hAnsiTheme="majorHAnsi" w:cs="David"/>
      <w:bCs/>
      <w:sz w:val="32"/>
      <w:szCs w:val="36"/>
    </w:rPr>
  </w:style>
  <w:style w:type="character" w:customStyle="1" w:styleId="Heading4Char">
    <w:name w:val="Heading 4 Char"/>
    <w:basedOn w:val="DefaultParagraphFont"/>
    <w:link w:val="Heading4"/>
    <w:uiPriority w:val="9"/>
    <w:rsid w:val="00EA4D67"/>
    <w:rPr>
      <w:rFonts w:ascii="David" w:hAnsi="David" w:cs="David"/>
      <w:b/>
      <w:bCs/>
      <w:color w:val="000000" w:themeColor="text1"/>
      <w:sz w:val="24"/>
      <w:szCs w:val="28"/>
    </w:rPr>
  </w:style>
  <w:style w:type="paragraph" w:customStyle="1" w:styleId="TableText">
    <w:name w:val="Table Text"/>
    <w:basedOn w:val="Normal"/>
    <w:rsid w:val="00EA4D67"/>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EA4D67"/>
    <w:pPr>
      <w:outlineLvl w:val="2"/>
    </w:pPr>
  </w:style>
  <w:style w:type="paragraph" w:customStyle="1" w:styleId="TableBlock">
    <w:name w:val="Table Block"/>
    <w:basedOn w:val="TableText"/>
    <w:rsid w:val="00EA4D67"/>
    <w:pPr>
      <w:jc w:val="both"/>
    </w:pPr>
  </w:style>
  <w:style w:type="paragraph" w:customStyle="1" w:styleId="TableHead">
    <w:name w:val="Table Head"/>
    <w:basedOn w:val="TableText"/>
    <w:rsid w:val="00EA4D67"/>
    <w:pPr>
      <w:jc w:val="center"/>
      <w:outlineLvl w:val="1"/>
    </w:pPr>
    <w:rPr>
      <w:b/>
      <w:bCs/>
    </w:rPr>
  </w:style>
  <w:style w:type="paragraph" w:customStyle="1" w:styleId="HeadMitparsemetBaze">
    <w:name w:val="Head MitparsemetBaze"/>
    <w:basedOn w:val="Normal"/>
    <w:rsid w:val="00EA4D67"/>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Normal"/>
    <w:rsid w:val="00EA4D67"/>
    <w:pPr>
      <w:keepNext/>
      <w:keepLines/>
      <w:snapToGrid w:val="0"/>
      <w:spacing w:before="240"/>
      <w:jc w:val="center"/>
      <w:outlineLvl w:val="0"/>
    </w:pPr>
    <w:rPr>
      <w:rFonts w:ascii="Arial" w:eastAsia="Arial Unicode MS" w:hAnsi="Arial"/>
      <w:b/>
      <w:bCs/>
      <w:snapToGrid w:val="0"/>
      <w:sz w:val="20"/>
      <w:szCs w:val="26"/>
    </w:rPr>
  </w:style>
  <w:style w:type="paragraph" w:customStyle="1" w:styleId="Hesber1st">
    <w:name w:val="Hesber 1st"/>
    <w:basedOn w:val="Hesber"/>
    <w:rsid w:val="00EA4D67"/>
    <w:pPr>
      <w:tabs>
        <w:tab w:val="left" w:pos="680"/>
        <w:tab w:val="left" w:pos="1020"/>
      </w:tabs>
      <w:ind w:firstLine="0"/>
    </w:pPr>
  </w:style>
  <w:style w:type="paragraph" w:customStyle="1" w:styleId="HeadDivreiHesber">
    <w:name w:val="Head DivreiHesber"/>
    <w:basedOn w:val="Normal"/>
    <w:rsid w:val="00EA4D67"/>
    <w:pPr>
      <w:snapToGrid w:val="0"/>
      <w:spacing w:before="360" w:after="120"/>
      <w:jc w:val="center"/>
      <w:outlineLvl w:val="1"/>
    </w:pPr>
    <w:rPr>
      <w:rFonts w:ascii="Arial" w:eastAsia="Arial Unicode MS" w:hAnsi="Arial"/>
      <w:b/>
      <w:snapToGrid w:val="0"/>
      <w:spacing w:val="40"/>
      <w:sz w:val="20"/>
      <w:szCs w:val="26"/>
    </w:rPr>
  </w:style>
  <w:style w:type="character" w:customStyle="1" w:styleId="Heading2Char">
    <w:name w:val="Heading 2 Char"/>
    <w:basedOn w:val="DefaultParagraphFont"/>
    <w:link w:val="Heading2"/>
    <w:rsid w:val="00EA4D67"/>
    <w:rPr>
      <w:rFonts w:asciiTheme="majorHAnsi" w:eastAsiaTheme="majorEastAsia" w:hAnsiTheme="majorHAnsi" w:cs="David"/>
      <w:bCs/>
      <w:sz w:val="26"/>
      <w:szCs w:val="36"/>
      <w:u w:val="single"/>
    </w:rPr>
  </w:style>
  <w:style w:type="character" w:customStyle="1" w:styleId="Heading3Char">
    <w:name w:val="Heading 3 Char"/>
    <w:basedOn w:val="DefaultParagraphFont"/>
    <w:link w:val="Heading3"/>
    <w:rsid w:val="00EA4D67"/>
    <w:rPr>
      <w:rFonts w:asciiTheme="majorHAnsi" w:eastAsiaTheme="majorEastAsia" w:hAnsiTheme="majorHAnsi" w:cs="David"/>
      <w:sz w:val="24"/>
      <w:szCs w:val="28"/>
      <w:u w:val="double"/>
    </w:rPr>
  </w:style>
  <w:style w:type="character" w:customStyle="1" w:styleId="Heading5Char">
    <w:name w:val="Heading 5 Char"/>
    <w:basedOn w:val="DefaultParagraphFont"/>
    <w:link w:val="Heading5"/>
    <w:uiPriority w:val="9"/>
    <w:rsid w:val="00EA4D67"/>
    <w:rPr>
      <w:rFonts w:ascii="David" w:hAnsi="David" w:cs="David"/>
      <w:color w:val="000000" w:themeColor="text1"/>
      <w:sz w:val="24"/>
      <w:szCs w:val="24"/>
    </w:rPr>
  </w:style>
  <w:style w:type="paragraph" w:customStyle="1" w:styleId="HeadHatzaotHok4Futer">
    <w:name w:val="Head HatzaotHok4Futer"/>
    <w:basedOn w:val="HeadHatzaotHok"/>
    <w:rsid w:val="00EA4D67"/>
    <w:pPr>
      <w:spacing w:before="120" w:after="120"/>
    </w:pPr>
    <w:rPr>
      <w:color w:val="FF0000"/>
      <w:w w:val="80"/>
    </w:rPr>
  </w:style>
  <w:style w:type="paragraph" w:styleId="EndnoteText">
    <w:name w:val="endnote text"/>
    <w:basedOn w:val="Normal"/>
    <w:link w:val="EndnoteTextChar"/>
    <w:semiHidden/>
    <w:rsid w:val="00EA4D67"/>
    <w:pPr>
      <w:ind w:left="227" w:hanging="227"/>
    </w:pPr>
    <w:rPr>
      <w:sz w:val="14"/>
      <w:szCs w:val="22"/>
    </w:rPr>
  </w:style>
  <w:style w:type="character" w:customStyle="1" w:styleId="EndnoteTextChar">
    <w:name w:val="Endnote Text Char"/>
    <w:basedOn w:val="DefaultParagraphFont"/>
    <w:link w:val="EndnoteText"/>
    <w:semiHidden/>
    <w:rsid w:val="001F51EF"/>
    <w:rPr>
      <w:rFonts w:ascii="David" w:hAnsi="David" w:cs="David"/>
      <w:sz w:val="14"/>
    </w:rPr>
  </w:style>
  <w:style w:type="paragraph" w:customStyle="1" w:styleId="TableInnerSideHeading">
    <w:name w:val="Table InnerSideHeading"/>
    <w:basedOn w:val="TableSideHeading"/>
    <w:rsid w:val="00EA4D67"/>
    <w:pPr>
      <w:outlineLvl w:val="9"/>
    </w:pPr>
  </w:style>
  <w:style w:type="paragraph" w:customStyle="1" w:styleId="Hesber">
    <w:name w:val="Hesber"/>
    <w:basedOn w:val="Normal"/>
    <w:rsid w:val="00EA4D67"/>
    <w:pPr>
      <w:snapToGrid w:val="0"/>
      <w:ind w:left="0" w:firstLine="340"/>
    </w:pPr>
    <w:rPr>
      <w:rFonts w:ascii="Arial" w:eastAsia="Arial Unicode MS" w:hAnsi="Arial"/>
      <w:snapToGrid w:val="0"/>
      <w:sz w:val="20"/>
      <w:szCs w:val="26"/>
    </w:rPr>
  </w:style>
  <w:style w:type="paragraph" w:styleId="FootnoteText">
    <w:name w:val="footnote text"/>
    <w:basedOn w:val="Normal"/>
    <w:link w:val="FootnoteTextChar"/>
    <w:autoRedefine/>
    <w:semiHidden/>
    <w:rsid w:val="00EA4D67"/>
    <w:pPr>
      <w:snapToGrid w:val="0"/>
      <w:spacing w:line="240" w:lineRule="auto"/>
      <w:ind w:left="0"/>
      <w:jc w:val="left"/>
    </w:pPr>
    <w:rPr>
      <w:rFonts w:ascii="Arial" w:eastAsia="Arial Unicode MS" w:hAnsi="Arial"/>
      <w:snapToGrid w:val="0"/>
      <w:sz w:val="14"/>
      <w:szCs w:val="20"/>
    </w:rPr>
  </w:style>
  <w:style w:type="character" w:customStyle="1" w:styleId="FootnoteTextChar">
    <w:name w:val="Footnote Text Char"/>
    <w:basedOn w:val="DefaultParagraphFont"/>
    <w:link w:val="FootnoteText"/>
    <w:semiHidden/>
    <w:rsid w:val="001F51EF"/>
    <w:rPr>
      <w:rFonts w:ascii="Arial" w:eastAsia="Arial Unicode MS" w:hAnsi="Arial" w:cs="David"/>
      <w:snapToGrid w:val="0"/>
      <w:sz w:val="14"/>
      <w:szCs w:val="20"/>
    </w:rPr>
  </w:style>
  <w:style w:type="character" w:styleId="FootnoteReference">
    <w:name w:val="footnote reference"/>
    <w:basedOn w:val="DefaultParagraphFont"/>
    <w:semiHidden/>
    <w:rsid w:val="00EA4D67"/>
    <w:rPr>
      <w:vertAlign w:val="superscript"/>
    </w:rPr>
  </w:style>
  <w:style w:type="paragraph" w:customStyle="1" w:styleId="HesberHeading">
    <w:name w:val="Hesber Heading"/>
    <w:basedOn w:val="Hesber"/>
    <w:rsid w:val="00EA4D67"/>
    <w:pPr>
      <w:tabs>
        <w:tab w:val="left" w:pos="624"/>
        <w:tab w:val="left" w:pos="1247"/>
      </w:tabs>
    </w:pPr>
    <w:rPr>
      <w:b/>
      <w:bCs/>
    </w:rPr>
  </w:style>
  <w:style w:type="paragraph" w:customStyle="1" w:styleId="HesberWriters">
    <w:name w:val="Hesber Writers"/>
    <w:basedOn w:val="Hesber"/>
    <w:rsid w:val="00EA4D67"/>
    <w:pPr>
      <w:spacing w:before="120" w:after="120"/>
      <w:ind w:left="1418"/>
      <w:jc w:val="right"/>
    </w:pPr>
    <w:rPr>
      <w:b/>
      <w:bCs/>
    </w:rPr>
  </w:style>
  <w:style w:type="character" w:styleId="EndnoteReference">
    <w:name w:val="endnote reference"/>
    <w:basedOn w:val="DefaultParagraphFont"/>
    <w:semiHidden/>
    <w:rsid w:val="00EA4D67"/>
    <w:rPr>
      <w:vertAlign w:val="superscript"/>
    </w:rPr>
  </w:style>
  <w:style w:type="paragraph" w:customStyle="1" w:styleId="TableBlockOutdent">
    <w:name w:val="Table BlockOutdent"/>
    <w:basedOn w:val="TableBlock"/>
    <w:rsid w:val="00EA4D67"/>
    <w:pPr>
      <w:ind w:left="624" w:hanging="624"/>
    </w:pPr>
  </w:style>
  <w:style w:type="paragraph" w:styleId="Header">
    <w:name w:val="header"/>
    <w:basedOn w:val="Normal"/>
    <w:link w:val="HeaderChar"/>
    <w:rsid w:val="00EA4D67"/>
    <w:pPr>
      <w:tabs>
        <w:tab w:val="center" w:pos="4153"/>
        <w:tab w:val="right" w:pos="8306"/>
      </w:tabs>
    </w:pPr>
  </w:style>
  <w:style w:type="character" w:customStyle="1" w:styleId="HeaderChar">
    <w:name w:val="Header Char"/>
    <w:basedOn w:val="DefaultParagraphFont"/>
    <w:link w:val="Header"/>
    <w:rsid w:val="001F51EF"/>
    <w:rPr>
      <w:rFonts w:ascii="David" w:hAnsi="David" w:cs="David"/>
      <w:sz w:val="24"/>
      <w:szCs w:val="24"/>
    </w:rPr>
  </w:style>
  <w:style w:type="paragraph" w:styleId="Footer">
    <w:name w:val="footer"/>
    <w:basedOn w:val="Normal"/>
    <w:link w:val="FooterChar"/>
    <w:rsid w:val="00EA4D67"/>
    <w:pPr>
      <w:tabs>
        <w:tab w:val="center" w:pos="4153"/>
        <w:tab w:val="right" w:pos="8306"/>
      </w:tabs>
    </w:pPr>
  </w:style>
  <w:style w:type="character" w:customStyle="1" w:styleId="FooterChar">
    <w:name w:val="Footer Char"/>
    <w:basedOn w:val="DefaultParagraphFont"/>
    <w:link w:val="Footer"/>
    <w:rsid w:val="001F51EF"/>
    <w:rPr>
      <w:rFonts w:ascii="David" w:hAnsi="David" w:cs="David"/>
      <w:sz w:val="24"/>
      <w:szCs w:val="24"/>
    </w:rPr>
  </w:style>
  <w:style w:type="character" w:styleId="PageNumber">
    <w:name w:val="page number"/>
    <w:basedOn w:val="DefaultParagraphFont"/>
    <w:rsid w:val="00EA4D67"/>
  </w:style>
  <w:style w:type="paragraph" w:customStyle="1" w:styleId="Cover1-Reshumot">
    <w:name w:val="Cover 1-Reshumot"/>
    <w:basedOn w:val="Normal"/>
    <w:rsid w:val="00EA4D67"/>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EA4D67"/>
    <w:rPr>
      <w:sz w:val="36"/>
      <w:szCs w:val="52"/>
    </w:rPr>
  </w:style>
  <w:style w:type="paragraph" w:customStyle="1" w:styleId="Cover3-Haknesset">
    <w:name w:val="Cover 3-Haknesset"/>
    <w:basedOn w:val="Cover1-Reshumot"/>
    <w:rsid w:val="00EA4D67"/>
    <w:rPr>
      <w:b/>
      <w:bCs/>
      <w:spacing w:val="60"/>
    </w:rPr>
  </w:style>
  <w:style w:type="paragraph" w:customStyle="1" w:styleId="Cover4-Date">
    <w:name w:val="Cover 4-Date"/>
    <w:basedOn w:val="Normal"/>
    <w:rsid w:val="00EA4D67"/>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Ragil">
    <w:name w:val="Ragil"/>
    <w:basedOn w:val="Normal"/>
    <w:rsid w:val="00EA4D67"/>
    <w:pPr>
      <w:snapToGrid w:val="0"/>
      <w:jc w:val="left"/>
    </w:pPr>
    <w:rPr>
      <w:rFonts w:ascii="Arial" w:eastAsia="Arial Unicode MS" w:hAnsi="Arial"/>
      <w:snapToGrid w:val="0"/>
      <w:sz w:val="20"/>
      <w:szCs w:val="26"/>
    </w:rPr>
  </w:style>
  <w:style w:type="paragraph" w:styleId="TOCHeading">
    <w:name w:val="TOC Heading"/>
    <w:basedOn w:val="Heading1"/>
    <w:next w:val="Normal"/>
    <w:uiPriority w:val="39"/>
    <w:unhideWhenUsed/>
    <w:qFormat/>
    <w:rsid w:val="00EA4D67"/>
    <w:pPr>
      <w:widowControl/>
      <w:spacing w:before="120" w:after="120"/>
      <w:outlineLvl w:val="9"/>
    </w:pPr>
    <w:rPr>
      <w:rtl/>
      <w:cs/>
    </w:rPr>
  </w:style>
  <w:style w:type="paragraph" w:styleId="TOC1">
    <w:name w:val="toc 1"/>
    <w:basedOn w:val="Normal"/>
    <w:next w:val="Normal"/>
    <w:autoRedefine/>
    <w:uiPriority w:val="39"/>
    <w:unhideWhenUsed/>
    <w:rsid w:val="00EA4D67"/>
    <w:pPr>
      <w:tabs>
        <w:tab w:val="right" w:leader="dot" w:pos="9629"/>
      </w:tabs>
      <w:spacing w:after="100"/>
    </w:pPr>
    <w:rPr>
      <w:bCs/>
      <w:szCs w:val="22"/>
    </w:rPr>
  </w:style>
  <w:style w:type="paragraph" w:styleId="TOC2">
    <w:name w:val="toc 2"/>
    <w:basedOn w:val="Normal"/>
    <w:next w:val="Normal"/>
    <w:uiPriority w:val="39"/>
    <w:unhideWhenUsed/>
    <w:rsid w:val="00EA4D67"/>
    <w:pPr>
      <w:tabs>
        <w:tab w:val="right" w:leader="dot" w:pos="9628"/>
      </w:tabs>
      <w:spacing w:after="100"/>
    </w:pPr>
    <w:rPr>
      <w:szCs w:val="22"/>
    </w:rPr>
  </w:style>
  <w:style w:type="character" w:styleId="Hyperlink">
    <w:name w:val="Hyperlink"/>
    <w:basedOn w:val="DefaultParagraphFont"/>
    <w:uiPriority w:val="99"/>
    <w:unhideWhenUsed/>
    <w:rsid w:val="00EA4D67"/>
    <w:rPr>
      <w:color w:val="0563C1" w:themeColor="hyperlink"/>
      <w:u w:val="single"/>
    </w:rPr>
  </w:style>
  <w:style w:type="paragraph" w:styleId="TOC3">
    <w:name w:val="toc 3"/>
    <w:basedOn w:val="Normal"/>
    <w:next w:val="Normal"/>
    <w:uiPriority w:val="39"/>
    <w:unhideWhenUsed/>
    <w:rsid w:val="00EA4D67"/>
    <w:pPr>
      <w:numPr>
        <w:numId w:val="20"/>
      </w:numPr>
      <w:tabs>
        <w:tab w:val="num" w:pos="360"/>
        <w:tab w:val="right" w:leader="dot" w:pos="9629"/>
      </w:tabs>
      <w:spacing w:after="100"/>
      <w:ind w:left="811" w:hanging="357"/>
    </w:pPr>
    <w:rPr>
      <w:szCs w:val="22"/>
    </w:rPr>
  </w:style>
  <w:style w:type="paragraph" w:styleId="TOC4">
    <w:name w:val="toc 4"/>
    <w:basedOn w:val="Normal"/>
    <w:next w:val="Normal"/>
    <w:autoRedefine/>
    <w:uiPriority w:val="39"/>
    <w:unhideWhenUsed/>
    <w:qFormat/>
    <w:rsid w:val="00EA4D67"/>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Normal"/>
    <w:next w:val="Normal"/>
    <w:semiHidden/>
    <w:unhideWhenUsed/>
    <w:rsid w:val="00EA4D67"/>
    <w:pPr>
      <w:tabs>
        <w:tab w:val="right" w:leader="dot" w:pos="9628"/>
      </w:tabs>
      <w:spacing w:after="100"/>
      <w:ind w:left="567"/>
    </w:pPr>
    <w:rPr>
      <w:szCs w:val="22"/>
    </w:rPr>
  </w:style>
  <w:style w:type="paragraph" w:styleId="TOC6">
    <w:name w:val="toc 6"/>
    <w:basedOn w:val="Normal"/>
    <w:next w:val="Normal"/>
    <w:autoRedefine/>
    <w:semiHidden/>
    <w:unhideWhenUsed/>
    <w:rsid w:val="00EA4D67"/>
    <w:pPr>
      <w:spacing w:after="100"/>
      <w:ind w:left="850"/>
    </w:pPr>
  </w:style>
  <w:style w:type="paragraph" w:styleId="TOC7">
    <w:name w:val="toc 7"/>
    <w:basedOn w:val="Normal"/>
    <w:next w:val="Normal"/>
    <w:autoRedefine/>
    <w:semiHidden/>
    <w:unhideWhenUsed/>
    <w:rsid w:val="00EA4D67"/>
    <w:pPr>
      <w:spacing w:after="100"/>
      <w:ind w:left="1020"/>
    </w:pPr>
  </w:style>
  <w:style w:type="paragraph" w:styleId="TOC8">
    <w:name w:val="toc 8"/>
    <w:basedOn w:val="Normal"/>
    <w:next w:val="Normal"/>
    <w:autoRedefine/>
    <w:semiHidden/>
    <w:unhideWhenUsed/>
    <w:rsid w:val="00EA4D67"/>
    <w:pPr>
      <w:spacing w:after="100"/>
      <w:ind w:left="1190"/>
    </w:pPr>
  </w:style>
  <w:style w:type="paragraph" w:styleId="TOC9">
    <w:name w:val="toc 9"/>
    <w:basedOn w:val="Normal"/>
    <w:next w:val="Normal"/>
    <w:autoRedefine/>
    <w:semiHidden/>
    <w:unhideWhenUsed/>
    <w:rsid w:val="00EA4D67"/>
    <w:pPr>
      <w:spacing w:after="100"/>
      <w:ind w:left="1360"/>
    </w:pPr>
  </w:style>
  <w:style w:type="paragraph" w:customStyle="1" w:styleId="TableHead2">
    <w:name w:val="Table Head2"/>
    <w:basedOn w:val="TableHead"/>
    <w:qFormat/>
    <w:rsid w:val="00EA4D67"/>
    <w:pPr>
      <w:outlineLvl w:val="9"/>
    </w:pPr>
  </w:style>
  <w:style w:type="paragraph" w:customStyle="1" w:styleId="TableSideHeading2">
    <w:name w:val="Table SideHeading2"/>
    <w:basedOn w:val="TableSideHeading"/>
    <w:autoRedefine/>
    <w:qFormat/>
    <w:rsid w:val="00EA4D67"/>
    <w:pPr>
      <w:keepLines w:val="0"/>
      <w:outlineLvl w:val="9"/>
    </w:pPr>
  </w:style>
  <w:style w:type="paragraph" w:customStyle="1" w:styleId="0">
    <w:name w:val="סגנון שורה ראשונה:  0  ס''מ"/>
    <w:basedOn w:val="Heading2"/>
    <w:rsid w:val="00EA4D67"/>
    <w:rPr>
      <w:rFonts w:eastAsia="Times New Roman"/>
    </w:rPr>
  </w:style>
  <w:style w:type="paragraph" w:styleId="ListParagraph">
    <w:name w:val="List Paragraph"/>
    <w:basedOn w:val="Normal"/>
    <w:uiPriority w:val="34"/>
    <w:qFormat/>
    <w:rsid w:val="00EA4D67"/>
    <w:pPr>
      <w:widowControl/>
      <w:spacing w:line="259" w:lineRule="auto"/>
    </w:pPr>
    <w:rPr>
      <w:rFonts w:asciiTheme="minorHAnsi" w:hAnsiTheme="minorHAnsi"/>
      <w:sz w:val="22"/>
    </w:rPr>
  </w:style>
  <w:style w:type="table" w:styleId="TableGrid">
    <w:name w:val="Table Grid"/>
    <w:basedOn w:val="TableNormal"/>
    <w:rsid w:val="00EA4D6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A4D67"/>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EA4D67"/>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
    <w:name w:val="טבלת חקיקה"/>
    <w:basedOn w:val="TableNormal"/>
    <w:uiPriority w:val="99"/>
    <w:rsid w:val="00EA4D67"/>
    <w:pPr>
      <w:spacing w:after="0" w:line="240" w:lineRule="auto"/>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
    <w:name w:val="סגנון1"/>
    <w:basedOn w:val="TableNormal"/>
    <w:uiPriority w:val="99"/>
    <w:rsid w:val="00EA4D67"/>
    <w:pPr>
      <w:spacing w:after="0" w:line="240" w:lineRule="auto"/>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character" w:styleId="CommentReference">
    <w:name w:val="annotation reference"/>
    <w:basedOn w:val="DefaultParagraphFont"/>
    <w:uiPriority w:val="99"/>
    <w:semiHidden/>
    <w:unhideWhenUsed/>
    <w:rsid w:val="00882C7A"/>
    <w:rPr>
      <w:sz w:val="16"/>
      <w:szCs w:val="16"/>
    </w:rPr>
  </w:style>
  <w:style w:type="paragraph" w:styleId="CommentText">
    <w:name w:val="annotation text"/>
    <w:basedOn w:val="Normal"/>
    <w:link w:val="CommentTextChar"/>
    <w:uiPriority w:val="99"/>
    <w:unhideWhenUsed/>
    <w:rsid w:val="00882C7A"/>
    <w:pPr>
      <w:spacing w:line="240" w:lineRule="auto"/>
    </w:pPr>
    <w:rPr>
      <w:sz w:val="20"/>
      <w:szCs w:val="20"/>
    </w:rPr>
  </w:style>
  <w:style w:type="character" w:customStyle="1" w:styleId="CommentTextChar">
    <w:name w:val="Comment Text Char"/>
    <w:basedOn w:val="DefaultParagraphFont"/>
    <w:link w:val="CommentText"/>
    <w:uiPriority w:val="99"/>
    <w:rsid w:val="00882C7A"/>
    <w:rPr>
      <w:rFonts w:ascii="David" w:hAnsi="David" w:cs="David"/>
      <w:sz w:val="20"/>
      <w:szCs w:val="20"/>
    </w:rPr>
  </w:style>
  <w:style w:type="paragraph" w:styleId="CommentSubject">
    <w:name w:val="annotation subject"/>
    <w:basedOn w:val="CommentText"/>
    <w:next w:val="CommentText"/>
    <w:link w:val="CommentSubjectChar"/>
    <w:uiPriority w:val="99"/>
    <w:semiHidden/>
    <w:unhideWhenUsed/>
    <w:rsid w:val="00882C7A"/>
    <w:rPr>
      <w:b/>
      <w:bCs/>
    </w:rPr>
  </w:style>
  <w:style w:type="character" w:customStyle="1" w:styleId="CommentSubjectChar">
    <w:name w:val="Comment Subject Char"/>
    <w:basedOn w:val="CommentTextChar"/>
    <w:link w:val="CommentSubject"/>
    <w:uiPriority w:val="99"/>
    <w:semiHidden/>
    <w:rsid w:val="00882C7A"/>
    <w:rPr>
      <w:rFonts w:ascii="David" w:hAnsi="David" w:cs="David"/>
      <w:b/>
      <w:bCs/>
      <w:sz w:val="20"/>
      <w:szCs w:val="20"/>
    </w:rPr>
  </w:style>
  <w:style w:type="paragraph" w:styleId="BalloonText">
    <w:name w:val="Balloon Text"/>
    <w:basedOn w:val="Normal"/>
    <w:link w:val="BalloonTextChar"/>
    <w:uiPriority w:val="99"/>
    <w:semiHidden/>
    <w:unhideWhenUsed/>
    <w:rsid w:val="00D36340"/>
    <w:pPr>
      <w:spacing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36340"/>
    <w:rPr>
      <w:rFonts w:ascii="Tahoma" w:hAnsi="Tahoma" w:cs="Tahoma"/>
      <w:sz w:val="18"/>
      <w:szCs w:val="18"/>
    </w:rPr>
  </w:style>
  <w:style w:type="paragraph" w:customStyle="1" w:styleId="statutory-body">
    <w:name w:val="statutory-body"/>
    <w:basedOn w:val="Normal"/>
    <w:rsid w:val="00B31CA9"/>
    <w:pPr>
      <w:widowControl/>
      <w:bidi w:val="0"/>
      <w:spacing w:before="100" w:beforeAutospacing="1" w:after="100" w:afterAutospacing="1" w:line="240" w:lineRule="auto"/>
      <w:ind w:left="0"/>
      <w:contextualSpacing w:val="0"/>
      <w:jc w:val="left"/>
    </w:pPr>
    <w:rPr>
      <w:rFonts w:ascii="Times New Roman" w:eastAsia="Times New Roman" w:hAnsi="Times New Roman" w:cs="Times New Roman"/>
    </w:rPr>
  </w:style>
  <w:style w:type="paragraph" w:styleId="Revision">
    <w:name w:val="Revision"/>
    <w:hidden/>
    <w:uiPriority w:val="99"/>
    <w:semiHidden/>
    <w:rsid w:val="000E39CE"/>
    <w:pPr>
      <w:spacing w:after="0" w:line="240" w:lineRule="auto"/>
    </w:pPr>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8525</Words>
  <Characters>48596</Characters>
  <Application>Microsoft Office Word</Application>
  <DocSecurity>0</DocSecurity>
  <Lines>404</Lines>
  <Paragraphs>114</Paragraphs>
  <ScaleCrop>false</ScaleCrop>
  <HeadingPairs>
    <vt:vector size="2" baseType="variant">
      <vt:variant>
        <vt:lpstr>שם</vt:lpstr>
      </vt:variant>
      <vt:variant>
        <vt:i4>1</vt:i4>
      </vt:variant>
    </vt:vector>
  </HeadingPairs>
  <TitlesOfParts>
    <vt:vector size="1" baseType="lpstr">
      <vt:lpstr/>
    </vt:vector>
  </TitlesOfParts>
  <Company>Ministry Of Finance</Company>
  <LinksUpToDate>false</LinksUpToDate>
  <CharactersWithSpaces>57007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גנוד</dc:creator>
  <cp:keywords/>
  <dc:description/>
  <cp:lastModifiedBy>Nir Halperin</cp:lastModifiedBy>
  <cp:revision>2</cp:revision>
  <dcterms:created xsi:type="dcterms:W3CDTF">2024-10-07T07:27:00Z</dcterms:created>
  <dcterms:modified xsi:type="dcterms:W3CDTF">2024-10-07T07:27:00Z</dcterms:modified>
</cp:coreProperties>
</file>